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Supplementary Information: Decomposing the transportability of immune-state biomarkers across checkpoint immunotherapy</w:t>
      </w:r>
    </w:p>
    <w:p>
      <w:r>
        <w:rPr>
          <w:b/>
        </w:rPr>
        <w:t>Supplementary Notes 1–6 and Tables S1–S8.</w:t>
      </w:r>
      <w:r>
        <w:t xml:space="preserve"> All numbers are read programmatically from the frozen JSON archives (`data/v82/*.json`, `data/v86/*.json`; seed 20260911) and are reproducible with `scripts/v82_*.py`, `scripts/v86_*.py` (Python 3.13, NumPy/SciPy/scikit-learn) and `scripts/make_v82_anchor_figures.R`, `scripts/make_v86_figures.R`, `scripts/make_v82_stable_figures.R` (R 4.6.1, ggplot2 4.0.3, 300 dpi, theme_classic, Arial). No value in this document is transcribed by hand.</w:t>
      </w:r>
    </w:p>
    <w:p>
      <w:pPr>
        <w:pStyle w:val="Heading1"/>
      </w:pPr>
      <w:r>
        <w:t>Supplementary Note 1 | Cohort provenance and endpoint harmonisation</w:t>
      </w:r>
    </w:p>
    <w:p>
      <w:r>
        <w:t>All cohorts are public GEO deposits re-verified field-by-field against GEO SOFT records and the linked primary publications during the v82 provenance audit. Endpoint roles follow the primary estimand of the main text: IMvigor210 is the single source anchor; GSE165252 and GSE78220 are the external targets; all source-swapped (leave-one-cohort-out, LOCO) refits are sensitivity analyses and never define the primary estimand. GSE287541 (ChILI) is locked as withheld and contributes to no estimate; the single-cell toxicity cohorts (GSE189125, GSE216329, GSE253720) are used only in the stress tests of Extended Data Fig. 8 with the design caveats recorded there.</w:t>
      </w:r>
    </w:p>
    <w:p>
      <w:r>
        <w:rPr>
          <w:b/>
        </w:rPr>
        <w:t>Table S1. Cohort ledger.</w:t>
      </w:r>
      <w:r>
        <w:t xml:space="preserve"> n and event counts are the analysis-locked labelled sets (`v82_rerun_benchmark.json:cohorts`; casemix block of `v82_clinical_only.json`).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16"/>
              </w:rPr>
              <w:t>Cohort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GSE accession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Assay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n (labelled)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Events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GSE139551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bulk RNA-seq (tumour)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298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binary durable clinical benefit / response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source anchor (within reference only)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bulk RNA-seq (tumour)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binary durable clinical benefit / response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external target (primary transport)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bulk RNA-seq (tumour)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binary durable clinical benefit / response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external target (primary transport)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GSE186143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GSE186143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scRNA-seq (PBMC, bulk TPM)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47 joint-evaluable (53 labelled of 61 in series)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27 DCB / 20 NDB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efficacy × severe irAE (4-cell)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joint identifiability analysis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GSE189125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GSE189125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scRNA-seq (PBMC)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 severe / 7 no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severe irAE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toxicity stress test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GSE216329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GSE216329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scRNA-seq 10x (T cells)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15 irAE / 9 no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any irAE grade 2–3 (organ-specific)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toxicity stress test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GSE253720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GSE253720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scRNA-seq (colon biopsy)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 CPI / 3 HC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CPI-colitis (case-control)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toxicity stress test (probe)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GSE287541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GSE287541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scRNA-seq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28 (61 in series)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irAE (longitudinal)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withheld; not used in any estimate</w:t>
            </w:r>
          </w:p>
        </w:tc>
      </w:tr>
    </w:tbl>
    <w:p/>
    <w:p>
      <w:r>
        <w:t>GSE186143 contributes 47 joint-evaluable patients (response × severe-irAE 4-cell design; 53 labelled patients in the series). Toxicity-cohort endpoint definitions are NOT harmonisable across cohorts (severe grade ≥3 vs any grade 2–3 organ-specific vs case-control colitis) and are labelled non-equivalent rather than pooled.</w:t>
      </w:r>
    </w:p>
    <w:p>
      <w:pPr>
        <w:pStyle w:val="Heading1"/>
      </w:pPr>
      <w:r>
        <w:t>Supplementary Note 2 | Statistical estimands and transport criteria</w:t>
      </w:r>
    </w:p>
    <w:p>
      <w:r>
        <w:rPr>
          <w:b/>
        </w:rPr>
        <w:t>Primary estimand.</w:t>
      </w:r>
      <w:r>
        <w:t xml:space="preserve"> The primary transport estimand is the held-out performance of the frozen IMvigor210-anchored system (S0: library-size normalisation → CLR transform → 322-gene panel → per-cohort uncentred PCA (k = 2) → Procrustes alignment with IMvigor210 as reference (rotation + translation only) → ridge logistic fit in the anchor), applied transform-only to the target cohort. No target label enters any fitting step. Source-swapped LOCO refits answer a different question (does any two-cohort mixture transfer?) and are reported as sensitivity analyses only.</w:t>
      </w:r>
    </w:p>
    <w:p>
      <w:r>
        <w:rPr>
          <w:b/>
        </w:rPr>
        <w:t>Licensing convention.</w:t>
      </w:r>
      <w:r>
        <w:t xml:space="preserve"> A transport claim requires both (C1) the external AUC bootstrap 95% CI (BCa, 2,000 resamples, seed 20260911) to exclude 0.5 in the beneficial direction, and (C2) |calibration slope − 1| ≤ 0.10 on the logit scale. The ±0.10 tolerance is a declared reporting convention, not an estimated quantity.</w:t>
      </w:r>
    </w:p>
    <w:p>
      <w:r>
        <w:rPr>
          <w:b/>
        </w:rPr>
        <w:t>Threshold sensitivity (P0-3).</w:t>
      </w:r>
      <w:r>
        <w:t xml:space="preserve"> Re-running the complete adjudication under AUC-only, calibration-only and joint criteria, with calibration-slope tolerances of ±0.05, ±0.10 and ±0.20 and under both slope conventions (probability-scale and logit-scale), changes no verdict: flip count = 0 (probability-scale convention) and 0 (logit-scale convention); transport permitted at any tolerance = false. The central conclusion does not depend on the 0.10 tolerance.</w:t>
      </w:r>
    </w:p>
    <w:p>
      <w:r>
        <w:rPr>
          <w:b/>
        </w:rPr>
        <w:t>Continuous metrics.</w:t>
      </w:r>
      <w:r>
        <w:t xml:space="preserve"> AUC, calibration intercept and slope, Brier score and log-loss are reported alongside every licensing decision (Tables S3, S4, S6), because a dual threshold can only summarise, not replace, the continuous transport behaviour.</w:t>
      </w:r>
    </w:p>
    <w:p>
      <w:pPr>
        <w:pStyle w:val="Heading1"/>
      </w:pPr>
      <w:r>
        <w:t>Supplementary Note 3 | Representation audit (21-configuration grid)</w:t>
      </w:r>
    </w:p>
    <w:p>
      <w:r>
        <w:t>The controlled perturbation grid spans five layers: the gene set (baseline 322-gene panel; data-driven top-100 / top-50 subsets; five random 100-gene and five random 50-gene draws), the normalisation (log2-CPM-raw; within-cohort z-score), the PCA dimension (k = 1, 3, 5) and the ridge penalty (λ = 0.01, 0.1, 1 × 1/n). Five former “measured-only” configurations were retracted: under the recovered gene identity the anchor panel has zero all-zero genes, so every measured-only subset coincides with the full panel (`v82_rerun_ablation.json:removed_configs`, 5 entries). The 21 non-degenerate configurations are the final grid.</w:t>
      </w:r>
    </w:p>
    <w:p>
      <w:r>
        <w:rPr>
          <w:b/>
        </w:rPr>
        <w:t>Table S5. 21-configuration representation audit</w:t>
      </w:r>
      <w:r>
        <w:t xml:space="preserve"> (external AUCs of the frozen primary transport; BCa 95% CI; `v82_rerun_ablation.json:per_config`).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</w:tcPr>
          <w:p>
            <w:r>
              <w:rPr>
                <w:b/>
                <w:sz w:val="16"/>
              </w:rPr>
              <w:t>Configuration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 genes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AUC GSE165252 [95% CI]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AUC GSE78220 [95% CI]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0.504 [0.354, 0.658]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0.660 [0.404, 0.862]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gene_top100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0.535 [0.387, 0.677]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0.513 [0.260, 0.758]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gene_top50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0.466 [0.330, 0.611]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0.596 [0.327, 0.800]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gene_rand100_s0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0.538 [0.387, 0.689]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0.526 [0.276, 0.750]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gene_rand100_s1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0.573 [0.413, 0.725]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0.571 [0.331, 0.792]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gene_rand100_s2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0.486 [0.339, 0.642]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0.615 [0.364, 0.827]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gene_rand100_s3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0.549 [0.402, 0.697]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0.590 [0.340, 0.806]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gene_rand100_s4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0.481 [0.332, 0.637]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0.615 [0.364, 0.827]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gene_rand50_s0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0.467 [0.326, 0.606]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0.647 [0.390, 0.844]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gene_rand50_s1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0.495 [0.351, 0.648]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0.622 [0.332, 0.833]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gene_rand50_s2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0.418 [0.273, 0.570]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0.654 [0.388, 0.851]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gene_rand50_s3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0.602 [0.456, 0.732]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0.513 [0.254, 0.747]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gene_rand50_s4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gene_set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0.565 [0.416, 0.700]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0.538 [0.301, 0.792]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norm_log2raw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0.476 [0.328, 0.626]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0.654 [0.407, 0.853]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norm_within_z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0.509 [0.353, 0.661]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0.654 [0.390, 0.853]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pc_k1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pc_k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0.500 [0.356, 0.644]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0.622 [0.360, 0.846]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pc_k3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pc_k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0.485 [0.337, 0.635]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0.679 [0.417, 0.872]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pc_k5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pc_k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0.464 [0.328, 0.611]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0.583 [0.330, 0.798]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ridge_lam0.01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ridge_lambda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0.504 [0.354, 0.658]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0.660 [0.404, 0.862]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ridge_lam0.1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ridge_lambda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0.504 [0.354, 0.658]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0.660 [0.404, 0.862]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ridge_lam1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ridge_lambda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0.504 [0.354, 0.658]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0.660 [0.404, 0.862]</w:t>
            </w:r>
          </w:p>
        </w:tc>
      </w:tr>
    </w:tbl>
    <w:p/>
    <w:p>
      <w:r>
        <w:t>No configuration establishes transport in either target cohort (any = false); the observed maximum external AUC over the grid is 0.679 and is not distinguishable from the selection-adjusted permutation null (Table S8b).</w:t>
      </w:r>
    </w:p>
    <w:p>
      <w:pPr>
        <w:pStyle w:val="Heading1"/>
      </w:pPr>
      <w:r>
        <w:t>Supplementary Note 4 | Gene-row identity recovery</w:t>
      </w:r>
    </w:p>
    <w:p>
      <w:r>
        <w:t>The anonymised IMvigor210 deposit preserved row ORDER but not row labels: the expression matrix carried placeholder identifiers (gene_1 … gene_31085). All v59–v81 pipeline versions had assumed exmat row i == fData row i under an Entrez string sort, and one Supplementary Table column was misparsed as Entrez identifiers, producing a pseudo-random 228-gene intersection with 70 all-zero genes carrying 88.7% of PC1 loading mass. The recovered key (exmat row j == the j-th fData row under upper-cased symbol alphabetical sort) was adjudicated among candidate sorts by biologically impossible-marker gates (Y-linked / XIST / housekeeping), mirror numeric identity and cross-cohort mean-expression rank correlation; all verification gates pass (`v82_imvigor_gene_recovery.json:verification_gates`, OVERALL PASS). The corrected row key is released as `exmat_row_key.csv` (31,085 rows, SHA-256 recorded in the provenance ledger).</w:t>
      </w:r>
    </w:p>
    <w:p>
      <w:r>
        <w:rPr>
          <w:b/>
        </w:rPr>
        <w:t>Table S2. Gene-row key and panel accounting</w:t>
      </w:r>
      <w:r>
        <w:t xml:space="preserve"> (`v82_rerun_benchmark.json:anchor`; `v82_imvigor_gene_recovery.json`).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Gene-set definition size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322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Measurable in IMvigor210 (recovered key)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320 / 322 (missing: IGHG1, PRKN)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Measurable in GSE165252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322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Measurable in GSE78220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Cross-cohort projection panel (common)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All-zero genes across the 348-gene union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Within-cohort 0.632 AUC, anchor (old → new)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0.567 → 0.657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External AUC → GSE78220 (old → new)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0.410 → 0.660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Two-criterion LOCO verdict (old → new)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refused → refused (unchanged)</w:t>
            </w:r>
          </w:p>
        </w:tc>
      </w:tr>
    </w:tbl>
    <w:p/>
    <w:p>
      <w:r>
        <w:t>The former 70-zero-gene pattern was a data-mapping error, not biological evidence; all anchor-arm numbers were re-run under the recovered key before submission (P0-1).</w:t>
      </w:r>
    </w:p>
    <w:p>
      <w:pPr>
        <w:pStyle w:val="Heading1"/>
      </w:pPr>
      <w:r>
        <w:t>Supplementary Note 5 | Model competition and positive controls</w:t>
      </w:r>
    </w:p>
    <w:p>
      <w:r>
        <w:t>Eight strategies were compared under the identical LOCO design (identical held-out patients): M0 prevalence-only intercept; M1 T-cell-receptor-only; M2 frozen S0; M3 supervised recalibration of M2 (100 stratified 50/50 repeats); M4 correlation-aligned (CORAL) variant; M5a/M5b pooled with platform- and disease-intercept shifts; M6 ridge recalibration. Because a single score cannot summarise a transport claim, all four probability metrics are reported (Table S6) and no method is ranked as a winner.</w:t>
      </w:r>
    </w:p>
    <w:p>
      <w:r>
        <w:rPr>
          <w:b/>
        </w:rPr>
        <w:t>Table S6. Model competition under the LOCO sensitivity estimand</w:t>
      </w:r>
      <w:r>
        <w:t xml:space="preserve"> (`v82_rerun_benchmark.json:loco_benchmark` + `:adjudication`). Verdict = two-criterion rule (C1 ∧ C2); IMvigor210 as target is served by the pooled other two cohorts.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AUC [95% CI]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Slope (logit)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Brier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Log-loss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0.500 [0.500, 0.500]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NA (constant)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0.198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0.587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0.500 [0.500, 0.500]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NA (constant)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0.643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0.500 [0.500, 0.500]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NA (constant)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0.864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0.537 [0.463, 0.615]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0.500 [0.356, 0.644]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0.649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0.622 [0.360, 0.846]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20.73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0.865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0.663 [0.585, 0.731]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2.93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0.196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0.583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0.511 [0.361, 0.666]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0.264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0.615 [0.365, 0.833]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1.87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0.248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0.688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0.665 [0.604, 0.730]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0.168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0.445 [0.356, 0.522]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-1.61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0.654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0.512 [0.154, 0.731]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-1.61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0.281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0.660 [0.581, 0.729]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3.10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0.197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0.584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0.511 [0.361, 0.666]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0.264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0.628 [0.378, 0.840]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1.88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0.242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0.675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M5a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0.665 [0.586, 0.733]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1.69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0.188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0.562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M5a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0.491 [0.340, 0.639]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0.241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M5a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0.660 [0.404, 0.862]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M5b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0.667 [0.589, 0.735]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1.78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0.188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0.563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M5b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0.514 [0.363, 0.665]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0.243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M5b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0.615 [0.365, 0.833]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1.47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0.315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0.842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0.668 [0.602, 0.731]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0.167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0.445 [0.357, 0.515]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-0.73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0.654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0.512 [0.154, 0.731]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-0.75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0.281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0.834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refused</w:t>
            </w:r>
          </w:p>
        </w:tc>
      </w:tr>
    </w:tbl>
    <w:p/>
    <w:p>
      <w:r>
        <w:t>All 24 cells are refused. Seven LOCO cells exceed the AUC-only criterion in the beneficial direction and fail only on calibration (`v82_rerun_benchmark.json:near_miss:auc_passes_but_slope_fails`); the closest overall is M3 → IMvigor210 (AUC 0.665, slope 1.15).</w:t>
      </w:r>
    </w:p>
    <w:p>
      <w:r>
        <w:rPr>
          <w:b/>
        </w:rPr>
        <w:t>Positive controls (P0-2).</w:t>
      </w:r>
      <w:r>
        <w:t xml:space="preserve"> The published 18-gene T-cell-inflamed GEP (Cristescu et al. 2018) was pushed through the same frozen transport pipeline and the same two-criterion evaluation under the recovered anchor identity; the 6-gene IFN-γ panel (Ayers et al. 2017) is sensitivity only. Results (`data/v85/v85_positive_control_gep18.json`):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</w:tcPr>
          <w:p>
            <w:r>
              <w:rPr>
                <w:b/>
                <w:sz w:val="16"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Cohort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AUC [95% CI]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Slope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Two-criterion verdict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18-gene T-cell-inflamed GEP (primary)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0.546 [0.403, 0.697]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18-gene T-cell-inflamed GEP (primary)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0.571 [0.318, 0.788]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6-gene IFN-γ (sensitivity)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0.561 [0.422, 0.712]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6-gene IFN-γ (sensitivity)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0.494 [0.247, 0.721]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fail</w:t>
            </w:r>
          </w:p>
        </w:tc>
      </w:tr>
    </w:tbl>
    <w:p/>
    <w:p>
      <w:r>
        <w:t>Within the anchor (IMvigor210, Efron 0.632), the 18-gene GEP reaches 0.573 and the 6-gene panel 0.605: known reproducible signatures attain within-cohort signal in these cohorts, yet both fail the two-criterion rule in every external cohort and at every slope tolerance. The evaluation environment is therefore not a trivial rejector; the refusal of the 322-gene representation is not explained by an over-strict rule alone.</w:t>
      </w:r>
    </w:p>
    <w:p>
      <w:pPr>
        <w:pStyle w:val="Heading1"/>
      </w:pPr>
      <w:r>
        <w:t>Supplementary Note 6 | Joint efficacy–toxicity analysis (GSE186143)</w:t>
      </w:r>
    </w:p>
    <w:p>
      <w:r>
        <w:t>GSE186143 is the only cohort in this study carrying both an efficacy endpoint (durable clinical benefit) and a severe immune-related toxicity endpoint in the same patients. With 47 joint-evaluable patients the 4-cell occupancy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severe irAE yes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severe irAE no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DCB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NDB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</w:t>
            </w:r>
          </w:p>
        </w:tc>
      </w:tr>
    </w:tbl>
    <w:p/>
    <w:p>
      <w:r>
        <w:t>Marginals: 27 DCB / 20 NDB; 15 severe / 32 no severe irAE. The efficacy–toxicity cross-tabulation is not significant (odds ratio 1.76; Fisher's exact P = 0.529; per-cell Clopper–Pearson 95% CIs all span their marginal rates).</w:t>
      </w:r>
    </w:p>
    <w:p>
      <w:r>
        <w:t>A joint multinomial model of the 4-cell outcome was compared with a pair of independent binomial models by 25-fold cross-validation: pooled log-loss 1.345 (joint) vs 1.356 (independent); the joint model wins in 12 of 25 folds, and the fold-level difference is not distinguishable from zero (sign-permutation P = 0.986).</w:t>
      </w:r>
    </w:p>
    <w:p>
      <w:r>
        <w:t>Identifiability assessment: the joint multinomial uses 9 effective parameters against 6 for the independent pair, i.e. 5.2 events per parameter, with a minimum training cell of 4 patients (minimum class occupancy 1 per fold). The cohort cannot identify a joint efficacy–toxicity representation: this is reported as an identifiability boundary and a design requirement for paired prospective studies, not as evidence about a shared mechanism.</w:t>
      </w:r>
    </w:p>
    <w:p>
      <w:pPr>
        <w:pStyle w:val="Heading1"/>
      </w:pPr>
      <w:r>
        <w:t>Table S3. Primary and sensitivity AUCs</w:t>
      </w:r>
    </w:p>
    <w:p>
      <w:r>
        <w:rPr>
          <w:b/>
        </w:rPr>
        <w:t>S3a. Primary frozen transports (the primary estimand).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b/>
                <w:sz w:val="16"/>
              </w:rPr>
              <w:t>Train → target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AUC [BCa 95% CI]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 target (events)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IMvigor210 → GSE165252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M2 (frozen S0)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0.504 [0.354, 0.658]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71 (23)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IMvigor210 → GSE78220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M2 (frozen S0)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0.660 [0.404, 0.862]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 (13)</w:t>
            </w:r>
          </w:p>
        </w:tc>
      </w:tr>
    </w:tbl>
    <w:p/>
    <w:p>
      <w:r>
        <w:rPr>
          <w:b/>
        </w:rPr>
        <w:t>S3b. True external pairwise transports, all six ordered directions (sensitivity; single-source frozen, transform-only).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b/>
                <w:sz w:val="16"/>
              </w:rPr>
              <w:t>Train → target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AUC [95% CI]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 (events)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IMvigor210 → GSE165252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0.504 [0.354, 0.658]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71 (23)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IMvigor210 → GSE78220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0.660 [0.404, 0.862]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25 (13)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GSE165252 → IMvigor210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0.391 [0.321, 0.468]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298 (68)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GSE165252 → GSE78220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0.442 [0.224, 0.699]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25 (13)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GSE78220 → IMvigor210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0.640 [0.560, 0.710]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298 (68)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GSE78220 → GSE165252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0.515 [0.367, 0.672]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71 (23)</w:t>
            </w:r>
          </w:p>
        </w:tc>
      </w:tr>
    </w:tbl>
    <w:p/>
    <w:p>
      <w:r>
        <w:rPr>
          <w:b/>
        </w:rPr>
        <w:t>S3c. Descriptive pooled external AUC (k = 3 cohorts).</w:t>
      </w:r>
      <w:r>
        <w:t xml:space="preserve"> 0.6146 [0.5147, 0.7146], I² = 0.387, Q P = 0.195. Reported for completeness only; with three cohorts of very different sizes it is not used to license transport (Extended Data Fig. 3).</w:t>
      </w:r>
    </w:p>
    <w:p>
      <w:pPr>
        <w:pStyle w:val="Heading1"/>
      </w:pPr>
      <w:r>
        <w:t>Table S4. Calibration and probability-accuracy metrics</w:t>
      </w:r>
    </w:p>
    <w:p>
      <w:r>
        <w:rPr>
          <w:b/>
        </w:rPr>
        <w:t>S4a. LOCO M2 (frozen S0) and M3 (100-repeat recalibration mean) per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080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Calib. intercept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Calib. slope (logit)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Brier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Log-loss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Mean predicted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Observed rate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2.93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0.196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0.583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0.168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0.511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-0.86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0.264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0.824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-1.95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-1.61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0.654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0.66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1.87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0.248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0.688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-1.61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0.281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0.832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nan</w:t>
            </w:r>
          </w:p>
        </w:tc>
      </w:tr>
    </w:tbl>
    <w:p/>
    <w:p>
      <w:r>
        <w:rPr>
          <w:b/>
        </w:rPr>
        <w:t>S4b. Supervised recalibration before/after (M2 → M3, logit-scale slope; 100 stratified 50/50 repeats).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M2 slope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M3 repeat-mean slope [95% CI]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Slope improved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2.93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1.15 [0.46, 2.70]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-1.61 [-6.78, 3.13]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1.87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-1.61 [-26.06, 11.95]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</w:tr>
    </w:tbl>
    <w:p/>
    <w:p>
      <w:r>
        <w:rPr>
          <w:b/>
        </w:rPr>
        <w:t>S4c. Within-cohort 0.632 references (Efron optimism-corrected, 600 refits).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rPr>
                <w:b/>
                <w:sz w:val="16"/>
              </w:rPr>
              <w:t>Cohort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AUC (0.632) [95% CI]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IMvigor210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0.657 [0.586, 0.728]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0.428 [0.326, 0.530]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0.622 [0.419, 0.825]</w:t>
            </w:r>
          </w:p>
        </w:tc>
      </w:tr>
    </w:tbl>
    <w:p/>
    <w:p>
      <w:pPr>
        <w:pStyle w:val="Heading1"/>
      </w:pPr>
      <w:r>
        <w:t>Table S7. Case-mix and outcome-shift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IMvigor210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GSE165252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GSE78220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 (labelled)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298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Response rate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0.228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Male sex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0.782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Stage III–IV / M1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0.188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SMD stage (IMvigor210 vs GSE78220)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-2.50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SMD male sex (IMvigor210 vs GSE78220)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0.23</w:t>
            </w:r>
          </w:p>
        </w:tc>
      </w:tr>
    </w:tbl>
    <w:p/>
    <w:p>
      <w:r>
        <w:t>Stage constructs are not equivalent between cohorts (IMvigor210 AJCC stage I–IV vs GSE78220 M1 disease); the standardized differences are reported only for the male-sex contrast and as a descriptive stage gap, and no causal case-mix attribution is made. In GSE165252 no covariates are deposited; every clinical model degenerates to the train-prevalence constant 0.228 (Extended Data Fig. 7).</w:t>
      </w:r>
    </w:p>
    <w:p>
      <w:pPr>
        <w:pStyle w:val="Heading1"/>
      </w:pPr>
      <w:r>
        <w:t>Table S8. Simulation and power/precision scenarios (P0-4, P0-5)</w:t>
      </w:r>
    </w:p>
    <w:p>
      <w:r>
        <w:rPr>
          <w:b/>
        </w:rPr>
        <w:t>S8a. External-validation precision simulation</w:t>
      </w:r>
      <w:r>
        <w:t xml:space="preserve"> (binormal equal-variance latent score; 5,000 simulations × 2,000-bootstrap CIs per cell; outcome prevalence fixed at the observed target rates; `v86_precision_simulation.json`). P(C1) = probability that the 95% CI excludes 0.5 in the beneficial direction.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</w:tcPr>
          <w:p>
            <w:r>
              <w:rPr>
                <w:b/>
                <w:sz w:val="16"/>
              </w:rPr>
              <w:t>True AUC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n = 71, 23 events: mean CI width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P(C1)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n = 25, 13 events: mean CI width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P(C1)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0.474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5.5%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0.60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28.3%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12.3%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0.275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54.1%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24.1%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79.2%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38.6%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94.4%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0.393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59.1%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99.3%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76.9%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0.188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91.5%</w:t>
            </w:r>
          </w:p>
        </w:tc>
      </w:tr>
    </w:tbl>
    <w:p/>
    <w:p>
      <w:r>
        <w:t>At the observed sizes, only large true effects are detectable reliably: for n = 71 (GSE165252) the probability of excluding 0.5 exceeds 90% only for true AUC ≥ 0.75; for n = 25 (GSE78220) even a true AUC of 0.80 yields 77% power. Conversely, the observed primary estimates cannot establish transport, but they also cannot rule out moderate true effects; this is the precision boundary of the present data.</w:t>
      </w:r>
    </w:p>
    <w:p>
      <w:r>
        <w:rPr>
          <w:b/>
        </w:rPr>
        <w:t>S8b. Selection-adjusted permutation null for the 21-configuration search (P0-4).</w:t>
      </w:r>
      <w:r>
        <w:t xml:space="preserve"> Anchor outcome labels permuted 2,000 times (target labels fixed; the same permuted labelling applied to all 21 configurations within a permutation; `v86_permutation_null.json`). The observed maximum external AUC over the grid is compared with the permutation max-AUC distribution.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</w:tcPr>
          <w:p>
            <w:r>
              <w:rPr>
                <w:b/>
                <w:sz w:val="16"/>
              </w:rPr>
              <w:t>Target cohort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Observed max AUC (argmax config)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Permuted max: mean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q95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max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One-sided 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GSE165252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0.602 (gene_rand50_s3)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0.582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0.394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GSE78220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0.679 (pc_k3)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0.637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0.827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0.398</w:t>
            </w:r>
          </w:p>
        </w:tc>
      </w:tr>
    </w:tbl>
    <w:p/>
    <w:p>
      <w:r>
        <w:t>The observed configuration-selection maxima lie inside the permutation null distributions: the 21-configuration search does not contain a signal beyond what selection alone produces, and the uniform refusal of the grid is not an artefact of multiple testing against a favourable direction.</w:t>
      </w:r>
    </w:p>
    <w:p>
      <w:r>
        <w:t>*Reproducibility: every value above is extracted programmatically from the frozen JSON archives cited in place; SHA-256 checksums of the frozen inputs are recorded in `data/v82/v82_analysis_manifest.json` and the Extended Data Fig. 10 manifest. Seed 20260911 throughout.*</w:t>
      </w:r>
    </w:p>
    <w:p>
      <w:r>
        <w:rPr>
          <w:b/>
        </w:rPr>
        <w:t>Reference crosswalk</w:t>
      </w:r>
    </w:p>
    <w:p>
      <w:r>
        <w:t>The main manuscript cites the core literature supporting checkpoint biology, immune-state biomarkers, calibration, external validation, transportability, multiple-testing control and reporting standards. Supplementary calculations cite the corresponding methodological references in the main bibliography; no separate uncited bibliography is introduced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Nature Cancer v86 — Supplementary Information (final candidate)</dc:title>
  <dc:subject>Supplementary Information for Nature Cancer Analysis submission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