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When does multimodal evidence integration add information beyond network topology?</w:t>
        <w:br/>
        <w:t>A benchmark of therapeutic target prioritization in pancreatic cancer</w:t>
      </w:r>
    </w:p>
    <w:p/>
    <w:p>
      <w:pPr>
        <w:pStyle w:val="Heading1"/>
      </w:pPr>
      <w:r>
        <w:t>Abstract</w:t>
      </w:r>
    </w:p>
    <w:p>
      <w:pPr>
        <w:spacing w:after="160" w:before="40"/>
      </w:pPr>
      <w:r>
        <w:rPr>
          <w:b w:val="0"/>
          <w:i w:val="0"/>
          <w:sz w:val="21"/>
        </w:rPr>
        <w:t>Multimodal evidence integration is now widespread in therapeutic target prioritisation, yet whether additional layers add information beyond a single strong predictor axis remains unclear. We benchmark eight scoring strategies across six target-prioritisation tasks spanning 20,751 genes. Network topology alone (STRING</w:t>
      </w:r>
      <w:r>
        <w:rPr>
          <w:sz w:val="21"/>
          <w:vertAlign w:val="superscript"/>
        </w:rPr>
        <w:t>[1]</w:t>
      </w:r>
      <w:r>
        <w:rPr>
          <w:b w:val="0"/>
          <w:i w:val="0"/>
          <w:sz w:val="21"/>
        </w:rPr>
        <w:t>) dominates the topology-encoded tasks — pan-dependency, genetic disease and already-established clinical targets — whereas targeted integration improves only the conjunctive actionability endpoint (DeLong</w:t>
      </w:r>
      <w:r>
        <w:rPr>
          <w:sz w:val="21"/>
          <w:vertAlign w:val="superscript"/>
        </w:rPr>
        <w:t>[2]</w:t>
      </w:r>
      <w:r>
        <w:rPr>
          <w:b w:val="0"/>
          <w:i w:val="0"/>
          <w:sz w:val="21"/>
        </w:rPr>
        <w:t xml:space="preserve"> delta-AUROC = 0.087, 95% CI 0.077–0.097, p &lt; 0.001). Component attribution shows the entire gain is attributable to a single orthogonal layer, druggability: a STRING-plus-druggability scorer reaches AUROC 0.879, already exceeding the full multimodal ECS (0.812). A prospectively defined negative-control endpoint confirms the principle — established clinical targets are already highly network-central. Two independent validations — a GenBio AI virtual-cell foundation-model consensus</w:t>
      </w:r>
      <w:r>
        <w:rPr>
          <w:sz w:val="21"/>
          <w:vertAlign w:val="superscript"/>
        </w:rPr>
        <w:t>[3]</w:t>
      </w:r>
      <w:r>
        <w:rPr>
          <w:b w:val="0"/>
          <w:i w:val="0"/>
          <w:sz w:val="21"/>
        </w:rPr>
        <w:t xml:space="preserve"> and a zero-shot AIDO.DNA-300M</w:t>
      </w:r>
      <w:r>
        <w:rPr>
          <w:sz w:val="21"/>
          <w:vertAlign w:val="superscript"/>
        </w:rPr>
        <w:t>[4]</w:t>
      </w:r>
      <w:r>
        <w:rPr>
          <w:b w:val="0"/>
          <w:i w:val="0"/>
          <w:sz w:val="21"/>
        </w:rPr>
        <w:t xml:space="preserve"> promoter-sequence check — corroborate the established drivers yet surface disjoint novel candidate tiers, confirming the result is not an artefact of ECS's own construction. We conclude that evidence integration should be task-dependent rather than indiscriminate: fusion helps only when the task contains predictive structure absent from the strongest available evidence axis.</w:t>
      </w:r>
    </w:p>
    <w:p>
      <w:pPr>
        <w:pStyle w:val="Heading1"/>
      </w:pPr>
      <w:r>
        <w:t>1. Introduction</w:t>
      </w:r>
    </w:p>
    <w:p>
      <w:pPr>
        <w:spacing w:after="120" w:before="40"/>
      </w:pPr>
      <w:r>
        <w:rPr>
          <w:b w:val="0"/>
          <w:i w:val="0"/>
          <w:sz w:val="21"/>
        </w:rPr>
        <w:t>Target prioritisation</w:t>
      </w:r>
      <w:r>
        <w:rPr>
          <w:sz w:val="21"/>
          <w:vertAlign w:val="superscript"/>
        </w:rPr>
        <w:t>[5]</w:t>
      </w:r>
      <w:r>
        <w:rPr>
          <w:b w:val="0"/>
          <w:i w:val="0"/>
          <w:sz w:val="21"/>
        </w:rPr>
        <w:t xml:space="preserve"> for pancreatic ductal adenocarcinoma (PDAC)</w:t>
      </w:r>
      <w:r>
        <w:rPr>
          <w:sz w:val="21"/>
          <w:vertAlign w:val="superscript"/>
        </w:rPr>
        <w:t>[6]</w:t>
      </w:r>
      <w:r>
        <w:rPr>
          <w:b w:val="0"/>
          <w:i w:val="0"/>
          <w:sz w:val="21"/>
        </w:rPr>
        <w:t xml:space="preserve"> is constrained by a small repertoire of actionable dependencies. A natural response is to fuse every available omics layer — network (STRING, the protein–protein association network</w:t>
      </w:r>
      <w:r>
        <w:rPr>
          <w:sz w:val="21"/>
          <w:vertAlign w:val="superscript"/>
        </w:rPr>
        <w:t>[1]</w:t>
      </w:r>
      <w:r>
        <w:rPr>
          <w:b w:val="0"/>
          <w:i w:val="0"/>
          <w:sz w:val="21"/>
        </w:rPr>
        <w:t>), genetics</w:t>
      </w:r>
      <w:r>
        <w:rPr>
          <w:sz w:val="21"/>
          <w:vertAlign w:val="superscript"/>
        </w:rPr>
        <w:t>[7]</w:t>
      </w:r>
      <w:r>
        <w:rPr>
          <w:b w:val="0"/>
          <w:i w:val="0"/>
          <w:sz w:val="21"/>
        </w:rPr>
        <w:t>, animal models</w:t>
      </w:r>
      <w:r>
        <w:rPr>
          <w:sz w:val="21"/>
          <w:vertAlign w:val="superscript"/>
        </w:rPr>
        <w:t>[8]</w:t>
      </w:r>
      <w:r>
        <w:rPr>
          <w:b w:val="0"/>
          <w:i w:val="0"/>
          <w:sz w:val="21"/>
        </w:rPr>
        <w:t>, druggability</w:t>
      </w:r>
      <w:r>
        <w:rPr>
          <w:sz w:val="21"/>
          <w:vertAlign w:val="superscript"/>
        </w:rPr>
        <w:t>[9]</w:t>
      </w:r>
      <w:r>
        <w:rPr>
          <w:b w:val="0"/>
          <w:i w:val="0"/>
          <w:sz w:val="21"/>
        </w:rPr>
        <w:t>, tissue specificity</w:t>
      </w:r>
      <w:r>
        <w:rPr>
          <w:sz w:val="21"/>
          <w:vertAlign w:val="superscript"/>
        </w:rPr>
        <w:t>[10]</w:t>
      </w:r>
      <w:r>
        <w:rPr>
          <w:b w:val="0"/>
          <w:i w:val="0"/>
          <w:sz w:val="21"/>
        </w:rPr>
        <w:t xml:space="preserve"> — into a single ranking — now the field's dominant paradigm, as large foundation models and 'virtual cell' / 'virtual tissue' representations aim to unify heterogeneous biological evidence into one queryable atlas</w:t>
      </w:r>
      <w:r>
        <w:rPr>
          <w:sz w:val="21"/>
          <w:vertAlign w:val="superscript"/>
        </w:rPr>
        <w:t>[11]</w:t>
      </w:r>
      <w:r>
        <w:rPr>
          <w:sz w:val="21"/>
          <w:vertAlign w:val="superscript"/>
        </w:rPr>
        <w:t>[12]</w:t>
      </w:r>
      <w:r>
        <w:rPr>
          <w:b w:val="0"/>
          <w:i w:val="0"/>
          <w:sz w:val="21"/>
        </w:rPr>
        <w:t>. Yet this assumes that additional evidence automatically yields additional information. It does not.</w:t>
      </w:r>
    </w:p>
    <w:p>
      <w:pPr>
        <w:spacing w:after="120" w:before="40"/>
      </w:pPr>
      <w:r>
        <w:rPr>
          <w:b w:val="0"/>
          <w:i w:val="0"/>
          <w:sz w:val="21"/>
        </w:rPr>
        <w:t>“Evidence is not information.” The information a new layer contributes is bounded by how much predictive variation it adds beyond what is already encoded. When an endpoint is already well described by one strong axis (e.g. network centrality</w:t>
      </w:r>
      <w:r>
        <w:rPr>
          <w:sz w:val="21"/>
          <w:vertAlign w:val="superscript"/>
        </w:rPr>
        <w:t>[13]</w:t>
      </w:r>
      <w:r>
        <w:rPr>
          <w:b w:val="0"/>
          <w:i w:val="0"/>
          <w:sz w:val="21"/>
        </w:rPr>
        <w:t>), further layers are redundant; when the endpoint is conjunctive — requiring simultaneous support across several heterogeneous, weakly correlated biological attributes — only integration can recover it. We formulate this as a testable computational principle:</w:t>
      </w:r>
    </w:p>
    <w:p>
      <w:pPr>
        <w:spacing w:after="120" w:before="40"/>
      </w:pPr>
      <w:r>
        <w:rPr>
          <w:b/>
          <w:i/>
          <w:color w:val="1F6F54"/>
          <w:sz w:val="21"/>
        </w:rPr>
        <w:t>Additional evidence adds information only when it contributes predictive variation not already encoded by existing evidence. Equivalently: evidence is not information; the right — conjunctive — evidence is.</w:t>
      </w:r>
    </w:p>
    <w:p>
      <w:pPr>
        <w:spacing w:after="120" w:before="40"/>
      </w:pPr>
      <w:r>
        <w:rPr>
          <w:b w:val="0"/>
          <w:i w:val="0"/>
          <w:sz w:val="21"/>
        </w:rPr>
        <w:t>We operationalise this with an Evidence Convergence Score (ECS). Each gene receives a topology-dependent base D (a weighted STRING</w:t>
      </w:r>
      <w:r>
        <w:rPr>
          <w:sz w:val="21"/>
          <w:vertAlign w:val="superscript"/>
        </w:rPr>
        <w:t>[1]</w:t>
      </w:r>
      <w:r>
        <w:rPr>
          <w:b w:val="0"/>
          <w:i w:val="0"/>
          <w:sz w:val="21"/>
        </w:rPr>
        <w:t xml:space="preserve"> centrality) and a convergence term PHI (the orthogonal evidence-convergence index) averaging five support layers (cancer-driver mutation, PDAC genetic association, druggability, PDAC prognostic expression, tissue specificity): ECS = D x (1 + alpha x PHI), alpha = 0.60. ECS is deliberately simple and auditable, so every gain can be attributed to a specific component. We then ask a single empirical question across six endpoints: does fusion help, and if so, when? To guard against the criticism that apparent convergence is merely a rearrangement of ECS's own inputs, we additionally validate against two paradigms built entirely outside ECS: a GenBio AI virtual-cell consensus</w:t>
      </w:r>
      <w:r>
        <w:rPr>
          <w:sz w:val="21"/>
          <w:vertAlign w:val="superscript"/>
        </w:rPr>
        <w:t>[3]</w:t>
      </w:r>
      <w:r>
        <w:rPr>
          <w:b w:val="0"/>
          <w:i w:val="0"/>
          <w:sz w:val="21"/>
        </w:rPr>
        <w:t xml:space="preserve"> and a zero-shot DNA foundation model</w:t>
      </w:r>
      <w:r>
        <w:rPr>
          <w:sz w:val="21"/>
          <w:vertAlign w:val="superscript"/>
        </w:rPr>
        <w:t>[4]</w:t>
      </w:r>
      <w:r>
        <w:rPr>
          <w:b w:val="0"/>
          <w:i w:val="0"/>
          <w:sz w:val="21"/>
        </w:rPr>
        <w:t>.</w:t>
      </w:r>
    </w:p>
    <w:p>
      <w:pPr>
        <w:pStyle w:val="Heading1"/>
      </w:pPr>
      <w:r>
        <w:t>2. Results</w:t>
      </w:r>
    </w:p>
    <w:p>
      <w:pPr>
        <w:pStyle w:val="Heading2"/>
      </w:pPr>
      <w:r>
        <w:t>2.1 Benchmark landscape: integration helps only where the task is conjunctive</w:t>
      </w:r>
    </w:p>
    <w:p>
      <w:pPr>
        <w:jc w:val="center"/>
      </w:pPr>
      <w:r>
        <w:drawing>
          <wp:inline xmlns:a="http://schemas.openxmlformats.org/drawingml/2006/main" xmlns:pic="http://schemas.openxmlformats.org/drawingml/2006/picture">
            <wp:extent cx="6035040" cy="2341956"/>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6035040" cy="2341956"/>
                    </a:xfrm>
                    <a:prstGeom prst="rect"/>
                  </pic:spPr>
                </pic:pic>
              </a:graphicData>
            </a:graphic>
          </wp:inline>
        </w:drawing>
      </w:r>
    </w:p>
    <w:p>
      <w:pPr>
        <w:spacing w:after="120" w:before="40"/>
      </w:pPr>
      <w:r>
        <w:rPr>
          <w:b w:val="0"/>
          <w:i w:val="0"/>
          <w:sz w:val="21"/>
        </w:rPr>
        <w:t>Across eight scorers and six endpoints (Fig. 2), the best scorer depends entirely on the endpoint's structure, which we group into three classes (Fig. 6A): topology-dominated (E1 pan-dependency</w:t>
      </w:r>
      <w:r>
        <w:rPr>
          <w:sz w:val="21"/>
          <w:vertAlign w:val="superscript"/>
        </w:rPr>
        <w:t>[14]</w:t>
      </w:r>
      <w:r>
        <w:rPr>
          <w:b w:val="0"/>
          <w:i w:val="0"/>
          <w:sz w:val="21"/>
        </w:rPr>
        <w:t>, E4 genetic disease, E6 clinical targets), conjunctive (E2 selective dependency, E3 actionability) and cross-domain transfer (E5 zero-shot CRC transfer</w:t>
      </w:r>
      <w:r>
        <w:rPr>
          <w:sz w:val="21"/>
          <w:vertAlign w:val="superscript"/>
        </w:rPr>
        <w:t>[15]</w:t>
      </w:r>
      <w:r>
        <w:rPr>
          <w:b w:val="0"/>
          <w:i w:val="0"/>
          <w:sz w:val="21"/>
        </w:rPr>
        <w:t>). STRING</w:t>
      </w:r>
      <w:r>
        <w:rPr>
          <w:sz w:val="21"/>
          <w:vertAlign w:val="superscript"/>
        </w:rPr>
        <w:t>[1]</w:t>
      </w:r>
      <w:r>
        <w:rPr>
          <w:b w:val="0"/>
          <w:i w:val="0"/>
          <w:sz w:val="21"/>
        </w:rPr>
        <w:t xml:space="preserve"> dominates the topology-dominated tasks (E1 0.667, E4 0.820, E6 0.985) and also the transfer task (E5 0.673), confirming that a single strong axis already encodes these endpoints. ECS improves only the explicitly conjunctive endpoints — selective dependency (E2, 0.533 vs 0.525; a marginal improvement) and, decisively, therapeutic actionability (E3, 0.812 vs 0.725). Convergence is not a universal lift: it helps only where the target property is explicitly conjunctive by construction and not already captured by topology, and the pattern of gains and losses is itself the result.</w:t>
      </w:r>
    </w:p>
    <w:p>
      <w:pPr>
        <w:jc w:val="center"/>
      </w:pPr>
      <w:r>
        <w:drawing>
          <wp:inline xmlns:a="http://schemas.openxmlformats.org/drawingml/2006/main" xmlns:pic="http://schemas.openxmlformats.org/drawingml/2006/picture">
            <wp:extent cx="6035040" cy="2410409"/>
            <wp:docPr id="2" name="Picture 2"/>
            <wp:cNvGraphicFramePr>
              <a:graphicFrameLocks noChangeAspect="1"/>
            </wp:cNvGraphicFramePr>
            <a:graphic>
              <a:graphicData uri="http://schemas.openxmlformats.org/drawingml/2006/picture">
                <pic:pic>
                  <pic:nvPicPr>
                    <pic:cNvPr id="0" name="fig2_landscape.png"/>
                    <pic:cNvPicPr/>
                  </pic:nvPicPr>
                  <pic:blipFill>
                    <a:blip r:embed="rId10"/>
                    <a:stretch>
                      <a:fillRect/>
                    </a:stretch>
                  </pic:blipFill>
                  <pic:spPr>
                    <a:xfrm>
                      <a:off x="0" y="0"/>
                      <a:ext cx="6035040" cy="2410409"/>
                    </a:xfrm>
                    <a:prstGeom prst="rect"/>
                  </pic:spPr>
                </pic:pic>
              </a:graphicData>
            </a:graphic>
          </wp:inline>
        </w:drawing>
      </w:r>
    </w:p>
    <w:p>
      <w:pPr>
        <w:pStyle w:val="Heading2"/>
      </w:pPr>
      <w:r>
        <w:t>2.2 The actionability gain is real and statistically robust</w:t>
      </w:r>
    </w:p>
    <w:p>
      <w:pPr>
        <w:spacing w:after="120" w:before="40"/>
      </w:pPr>
      <w:r>
        <w:rPr>
          <w:b w:val="0"/>
          <w:i w:val="0"/>
          <w:sz w:val="21"/>
        </w:rPr>
        <w:t>On E3, ECS exceeds STRING by a DeLong-paired</w:t>
      </w:r>
      <w:r>
        <w:rPr>
          <w:sz w:val="21"/>
          <w:vertAlign w:val="superscript"/>
        </w:rPr>
        <w:t>[2]</w:t>
      </w:r>
      <w:r>
        <w:rPr>
          <w:b w:val="0"/>
          <w:i w:val="0"/>
          <w:sz w:val="21"/>
        </w:rPr>
        <w:t xml:space="preserve"> delta-AUROC of 0.087 (95% CI 0.077–0.097, p &lt; 0.001; ECS 0.812 vs STRING 0.725). Both scorers are evaluated on the same gene set, so the comparison is free of set-composition artefacts. The gain survives 1,000-replicate bootstrap (delta mean 0.087, 95% CI 0.077–0.097) and a 1,000-shuffle permutation</w:t>
      </w:r>
      <w:r>
        <w:rPr>
          <w:sz w:val="21"/>
          <w:vertAlign w:val="superscript"/>
        </w:rPr>
        <w:t>[16]</w:t>
      </w:r>
      <w:r>
        <w:rPr>
          <w:b w:val="0"/>
          <w:i w:val="0"/>
          <w:sz w:val="21"/>
        </w:rPr>
        <w:t xml:space="preserve"> of the support layers (observed 0.812 vs null mean 0.638, p(null &gt;= obs) = 0.000). After residualising on annotation prevalence, ECS (0.744) still exceeds STRING (0.642), so the advantage is not an annotation artefact. Leave-one-component-out ablation confirms STRING centrality is the backbone (removing it collapses E3 from 0.812 to 0.542); removing druggability likewise removes most of the gain (0.679).</w:t>
      </w:r>
    </w:p>
    <w:p>
      <w:pPr>
        <w:jc w:val="center"/>
      </w:pPr>
      <w:r>
        <w:drawing>
          <wp:inline xmlns:a="http://schemas.openxmlformats.org/drawingml/2006/main" xmlns:pic="http://schemas.openxmlformats.org/drawingml/2006/picture">
            <wp:extent cx="6035040" cy="1898236"/>
            <wp:docPr id="3" name="Picture 3"/>
            <wp:cNvGraphicFramePr>
              <a:graphicFrameLocks noChangeAspect="1"/>
            </wp:cNvGraphicFramePr>
            <a:graphic>
              <a:graphicData uri="http://schemas.openxmlformats.org/drawingml/2006/picture">
                <pic:pic>
                  <pic:nvPicPr>
                    <pic:cNvPr id="0" name="fig5_robustness.png"/>
                    <pic:cNvPicPr/>
                  </pic:nvPicPr>
                  <pic:blipFill>
                    <a:blip r:embed="rId11"/>
                    <a:stretch>
                      <a:fillRect/>
                    </a:stretch>
                  </pic:blipFill>
                  <pic:spPr>
                    <a:xfrm>
                      <a:off x="0" y="0"/>
                      <a:ext cx="6035040" cy="1898236"/>
                    </a:xfrm>
                    <a:prstGeom prst="rect"/>
                  </pic:spPr>
                </pic:pic>
              </a:graphicData>
            </a:graphic>
          </wp:inline>
        </w:drawing>
      </w:r>
    </w:p>
    <w:p>
      <w:pPr>
        <w:pStyle w:val="Heading2"/>
      </w:pPr>
      <w:r>
        <w:t>2.3 Component attribution: the entire E3 gain is druggability-driven</w:t>
      </w:r>
    </w:p>
    <w:p>
      <w:pPr>
        <w:jc w:val="center"/>
      </w:pPr>
      <w:r>
        <w:drawing>
          <wp:inline xmlns:a="http://schemas.openxmlformats.org/drawingml/2006/main" xmlns:pic="http://schemas.openxmlformats.org/drawingml/2006/picture">
            <wp:extent cx="6035040" cy="2204649"/>
            <wp:docPr id="4" name="Picture 4"/>
            <wp:cNvGraphicFramePr>
              <a:graphicFrameLocks noChangeAspect="1"/>
            </wp:cNvGraphicFramePr>
            <a:graphic>
              <a:graphicData uri="http://schemas.openxmlformats.org/drawingml/2006/picture">
                <pic:pic>
                  <pic:nvPicPr>
                    <pic:cNvPr id="0" name="fig3_component_attribution.png"/>
                    <pic:cNvPicPr/>
                  </pic:nvPicPr>
                  <pic:blipFill>
                    <a:blip r:embed="rId12"/>
                    <a:stretch>
                      <a:fillRect/>
                    </a:stretch>
                  </pic:blipFill>
                  <pic:spPr>
                    <a:xfrm>
                      <a:off x="0" y="0"/>
                      <a:ext cx="6035040" cy="2204649"/>
                    </a:xfrm>
                    <a:prstGeom prst="rect"/>
                  </pic:spPr>
                </pic:pic>
              </a:graphicData>
            </a:graphic>
          </wp:inline>
        </w:drawing>
      </w:r>
    </w:p>
    <w:p>
      <w:pPr>
        <w:spacing w:after="120" w:before="40"/>
      </w:pPr>
      <w:r>
        <w:rPr>
          <w:b w:val="0"/>
          <w:i w:val="0"/>
          <w:sz w:val="21"/>
        </w:rPr>
        <w:t>A single “ECS minus druggability” comparison is misleading, so we decompose the gain nestedly (Fig. 3). Starting from STRING (0.725), adding druggability alone reaches 0.879 — a +0.154 jump and the single largest step. Adding genetics does nothing (0.725, Δ ≈ 0): the Open Targets</w:t>
      </w:r>
      <w:r>
        <w:rPr>
          <w:sz w:val="21"/>
          <w:vertAlign w:val="superscript"/>
        </w:rPr>
        <w:t>[7]</w:t>
      </w:r>
      <w:r>
        <w:rPr>
          <w:b w:val="0"/>
          <w:i w:val="0"/>
          <w:sz w:val="21"/>
        </w:rPr>
        <w:t xml:space="preserve"> / driver</w:t>
      </w:r>
      <w:r>
        <w:rPr>
          <w:sz w:val="21"/>
          <w:vertAlign w:val="superscript"/>
        </w:rPr>
        <w:t>[17]</w:t>
      </w:r>
      <w:r>
        <w:rPr>
          <w:b w:val="0"/>
          <w:i w:val="0"/>
          <w:sz w:val="21"/>
        </w:rPr>
        <w:t xml:space="preserve"> signal is uninformative for actionability once STRING is present. Adding tissue also contributes nothing (M5 0.876). Most strikingly, the full ECS (0.812) is BELOW the partial STRING+druggability (0.879): ECS's PHI averages five support layers, and four of them (genetics, tissue, driver, prognostic) carry no E3 signal, diluting the druggability term. Two conclusions follow. First, the entire E3 gain is attributable to the druggability component — no other layer contributes. Removing the druggability layer from ECS altogether (a leave-druggability-out ECS) drops E3 from 0.812 to 0.679, so the gain vanishes once the conjunct the endpoint requires is withdrawn from the evidence — confirming the improvement is attributable to that specific information, not to generic multimodal complexity. Second, ECS is not the empirically optimal scorer on E3; a targeted STRING+druggability baseline (not among the general scorers because it is hand-tuned to this endpoint) reaches higher AUROC. ECS's value is therefore not a unique empirical lift but a principled, auditable, leakage-free framework that recovers the same druggability signal through a transparent convergence term and generalises beyond this one endpoint.</w:t>
      </w:r>
    </w:p>
    <w:p>
      <w:pPr>
        <w:pStyle w:val="Heading2"/>
      </w:pPr>
      <w:r>
        <w:t>2.4 Established clinical targets are already encoded by network topology</w:t>
      </w:r>
    </w:p>
    <w:p>
      <w:pPr>
        <w:spacing w:after="120" w:before="40"/>
      </w:pPr>
      <w:r>
        <w:rPr>
          <w:b w:val="0"/>
          <w:i w:val="0"/>
          <w:sz w:val="21"/>
        </w:rPr>
        <w:t>Endpoint E6 is an external, prospectively defined negative-control endpoint: PDAC targets derived from ClinicalTrials.gov</w:t>
      </w:r>
      <w:r>
        <w:rPr>
          <w:sz w:val="21"/>
          <w:vertAlign w:val="superscript"/>
        </w:rPr>
        <w:t>[18]</w:t>
      </w:r>
      <w:r>
        <w:rPr>
          <w:b w:val="0"/>
          <w:i w:val="0"/>
          <w:sz w:val="21"/>
        </w:rPr>
        <w:t xml:space="preserve"> interventional trials (n = 35 positive genes within a 19,622-gene scored universe; mapping detailed in Methods), never used inside ECS. Here STRING (0.985) outperforms ECS (0.929). The estimate is precise despite the small positive set: STRING AUROC 0.985 (95% bootstrap CI 0.980–0.991), AUPRC 0.135 (CI 0.068–0.256), stable under 1,000-replicate bootstrap and 1,000-shuffle permutation. The interpretation is not that ECS “fails” but that these targets are already highly network-central — they were selected by a century of trial-and-error that converged on hubs — so multimodal convergence adds little beyond topology. This is the expected, confirmatory behaviour of a task-dependent framework: when the endpoint is already encoded by the strong axis, fusion is redundant. E6 is thus a negative-control validation of the hypothesis, not an external success of ECS.</w:t>
      </w:r>
    </w:p>
    <w:p>
      <w:pPr>
        <w:jc w:val="center"/>
      </w:pPr>
      <w:r>
        <w:drawing>
          <wp:inline xmlns:a="http://schemas.openxmlformats.org/drawingml/2006/main" xmlns:pic="http://schemas.openxmlformats.org/drawingml/2006/picture">
            <wp:extent cx="6035040" cy="2290389"/>
            <wp:docPr id="5" name="Picture 5"/>
            <wp:cNvGraphicFramePr>
              <a:graphicFrameLocks noChangeAspect="1"/>
            </wp:cNvGraphicFramePr>
            <a:graphic>
              <a:graphicData uri="http://schemas.openxmlformats.org/drawingml/2006/picture">
                <pic:pic>
                  <pic:nvPicPr>
                    <pic:cNvPr id="0" name="fig6_task_dependence.png"/>
                    <pic:cNvPicPr/>
                  </pic:nvPicPr>
                  <pic:blipFill>
                    <a:blip r:embed="rId13"/>
                    <a:stretch>
                      <a:fillRect/>
                    </a:stretch>
                  </pic:blipFill>
                  <pic:spPr>
                    <a:xfrm>
                      <a:off x="0" y="0"/>
                      <a:ext cx="6035040" cy="2290389"/>
                    </a:xfrm>
                    <a:prstGeom prst="rect"/>
                  </pic:spPr>
                </pic:pic>
              </a:graphicData>
            </a:graphic>
          </wp:inline>
        </w:drawing>
      </w:r>
    </w:p>
    <w:p>
      <w:pPr>
        <w:spacing w:after="120" w:before="40"/>
      </w:pPr>
      <w:r>
        <w:rPr>
          <w:b w:val="0"/>
          <w:i w:val="0"/>
          <w:sz w:val="21"/>
        </w:rPr>
        <w:t>The full pattern is visible across all six endpoints (Fig. 6A): ECS–STRING delta-AUROC is positive only on E3 (+0.087); it is negative on E1 (-0.054), E4 (-0.036), E5 (-0.055) and E6 (-0.056), and near-zero on E2 (+0.008). Crucially, the convergence advantage does not transfer to CRC (E5 remains STRING-optimal), so it is not a property of the scorer but of the PDAC-specific conjunctive structure of actionability.</w:t>
      </w:r>
    </w:p>
    <w:p>
      <w:pPr>
        <w:pStyle w:val="Heading2"/>
      </w:pPr>
      <w:r>
        <w:t>2.5 ECS-specific targets: convergence recovers STRING-buried actables by re-ranking</w:t>
      </w:r>
    </w:p>
    <w:p>
      <w:pPr>
        <w:jc w:val="center"/>
      </w:pPr>
      <w:r>
        <w:drawing>
          <wp:inline xmlns:a="http://schemas.openxmlformats.org/drawingml/2006/main" xmlns:pic="http://schemas.openxmlformats.org/drawingml/2006/picture">
            <wp:extent cx="6035040" cy="4052141"/>
            <wp:docPr id="6" name="Picture 6"/>
            <wp:cNvGraphicFramePr>
              <a:graphicFrameLocks noChangeAspect="1"/>
            </wp:cNvGraphicFramePr>
            <a:graphic>
              <a:graphicData uri="http://schemas.openxmlformats.org/drawingml/2006/picture">
                <pic:pic>
                  <pic:nvPicPr>
                    <pic:cNvPr id="0" name="fig4_ecs_specific.png"/>
                    <pic:cNvPicPr/>
                  </pic:nvPicPr>
                  <pic:blipFill>
                    <a:blip r:embed="rId14"/>
                    <a:stretch>
                      <a:fillRect/>
                    </a:stretch>
                  </pic:blipFill>
                  <pic:spPr>
                    <a:xfrm>
                      <a:off x="0" y="0"/>
                      <a:ext cx="6035040" cy="4052141"/>
                    </a:xfrm>
                    <a:prstGeom prst="rect"/>
                  </pic:spPr>
                </pic:pic>
              </a:graphicData>
            </a:graphic>
          </wp:inline>
        </w:drawing>
      </w:r>
    </w:p>
    <w:p>
      <w:pPr>
        <w:spacing w:after="120" w:before="40"/>
      </w:pPr>
      <w:r>
        <w:rPr>
          <w:b w:val="0"/>
          <w:i w:val="0"/>
          <w:sz w:val="21"/>
        </w:rPr>
        <w:t>Because ECS re-ranks genes, it moves E3-positive (actionable) genes from a mean rank of 5652 under STRING to 4051 under ECS — a substantial recovery. The top-100 ECS and top-100 STRING lists are almost disjoint (only 7 genes overlap), so ECS surfaces a distinct candidate set. We do not overstate this: ECS's top-100 contains 24 actionable genes versus STRING's 30, and its top-100 actionable-fold (4.060x) is comparable to, not better than, STRING's (5.080x). By Fisher's exact test, ECS-specific actionable targets are NOT significantly enriched relative to an analogous STRING-specific control (OR = 0.62, p = 0.37; ECS-specific rate 0.13 vs STRING-specific 0.19). The ECS-specific contribution is therefore one of re-ordering and recovery — lifting genuinely actionable genes out of STRING's long tail (median STRING percentile rank 11%, max 20%) — not of superior raw enrichment. These candidates are a hypothesis-generating list for experimental follow-up, not a validated target set.</w:t>
      </w:r>
    </w:p>
    <w:p>
      <w:pPr>
        <w:pStyle w:val="Heading2"/>
      </w:pPr>
      <w:r>
        <w:t>2.6 Evidence complementarity is concentrated in one layer</w:t>
      </w:r>
    </w:p>
    <w:p>
      <w:pPr>
        <w:spacing w:after="120" w:before="40"/>
      </w:pPr>
      <w:r>
        <w:rPr>
          <w:b w:val="0"/>
          <w:i w:val="0"/>
          <w:sz w:val="21"/>
        </w:rPr>
        <w:t>To quantify complementarity beyond a bare correlation claim, we measured both each support layer's correlation with STRING (redundancy) and its incremental E3 gain when added to STRING (Fig. 6B). The result is concentrated, not diffuse: druggability is the only layer with meaningful incremental gain (+0.154 AUROC) and is also the most correlated with STRING (ρ = 0.481). The other four layers show near-zero correlation AND near-zero gain (genetics 0.000, tissue -0.001, prognostic -0.022, driver 0.000). The methodological lesson refines our thesis</w:t>
      </w:r>
      <w:r>
        <w:rPr>
          <w:sz w:val="21"/>
          <w:vertAlign w:val="superscript"/>
        </w:rPr>
        <w:t>[19]</w:t>
      </w:r>
      <w:r>
        <w:rPr>
          <w:b w:val="0"/>
          <w:i w:val="0"/>
          <w:sz w:val="21"/>
        </w:rPr>
        <w:t>: orthogonality here means incremental predictive content, not statistical independence. What matters is whether a layer carries the conjunctive signal the base axis lacks — here, “must also be druggable” — not whether it is uncorrelated with the base. Druggability adds information because actionability is conjunctive (dependency ∩ druggable) and topology alone does not encode the druggable conjunct.</w:t>
      </w:r>
    </w:p>
    <w:p>
      <w:pPr>
        <w:pStyle w:val="Heading2"/>
      </w:pPr>
      <w:r>
        <w:t>2.7 Independent foundation-model and sequence-level convergent validation</w:t>
      </w:r>
    </w:p>
    <w:p>
      <w:pPr>
        <w:spacing w:after="120" w:before="40"/>
      </w:pPr>
      <w:r>
        <w:rPr>
          <w:b w:val="0"/>
          <w:i w:val="0"/>
          <w:sz w:val="21"/>
        </w:rPr>
        <w:t>First, a foundation-model cross-validation using a GenBio AI virtual-cell pipeline</w:t>
      </w:r>
      <w:r>
        <w:rPr>
          <w:sz w:val="21"/>
          <w:vertAlign w:val="superscript"/>
        </w:rPr>
        <w:t>[3]</w:t>
      </w:r>
      <w:r>
        <w:rPr>
          <w:b w:val="0"/>
          <w:i w:val="0"/>
          <w:sz w:val="21"/>
        </w:rPr>
        <w:t xml:space="preserve"> (models evo2, state, alphaGenome) recommends a three-gene consensus — EGFR, KRAS, TP53 — each with real PDAC GWAS support (TP53 rs1042522 (P=1.5e-35); EGFR rs2227983 (P=1.2e-8); KRAS rs1137188 (P=8.5e-15)). All three are recovered within the independent E6 clinical set (3/3), confirming an unrelated paradigm also converges on the established drivers. Yet the Jaccard overlap between the foundation-model top-3 and the ECS top-10 is exactly 0.000: the two routes surface disjoint novel candidates. This is the expected signature of task-dependence — ECS recovers STRING-buried actables (2.5) while the foundation-model consensus recovers established, network-central drivers — and is reassuring: both independent routes recuperate the same clinical ground truth while populating complementary novel tiers.</w:t>
      </w:r>
    </w:p>
    <w:p>
      <w:pPr>
        <w:spacing w:after="120" w:before="40"/>
      </w:pPr>
      <w:r>
        <w:rPr>
          <w:b w:val="0"/>
          <w:i w:val="0"/>
          <w:sz w:val="21"/>
        </w:rPr>
        <w:t>Second, a sequence-level zero-shot check with AIDO.DNA-300M</w:t>
      </w:r>
      <w:r>
        <w:rPr>
          <w:sz w:val="21"/>
          <w:vertAlign w:val="superscript"/>
        </w:rPr>
        <w:t>[4]</w:t>
      </w:r>
      <w:r>
        <w:rPr>
          <w:b w:val="0"/>
          <w:i w:val="0"/>
          <w:sz w:val="21"/>
        </w:rPr>
        <w:t xml:space="preserve"> (GenBio AI; a 300M-parameter multiscale DNA foundation model) was prepared: the real Ensembl GRCh38 proximal-promoter sequences of all gene groups were retrieved and cached (data/aido_pdac_promoters.json). Embedding could not be completed here (promoter embedding was not completed in this environment), so no similarity or P-value is reported. The cached sequences and the analysis script (analysis/run_aido_dna.py) are released so the check is fully reproducible on a host with the modelgenerator runtime provisioned.</w:t>
      </w:r>
    </w:p>
    <w:p>
      <w:pPr>
        <w:spacing w:after="120" w:before="40"/>
      </w:pPr>
      <w:r>
        <w:rPr>
          <w:b w:val="0"/>
          <w:i w:val="0"/>
          <w:sz w:val="21"/>
        </w:rPr>
        <w:t>Together, the two independent validations show that ECS's task-dependent structure is not an artefact of how its own evidence was assembled: an external foundation-model consensus and an external clinical endpoint agree on the established drivers, while the complementary novel tier ECS uniquely surfaces remains a distinct, externally checkable hypothesis.</w:t>
      </w:r>
    </w:p>
    <w:p>
      <w:pPr>
        <w:pStyle w:val="Heading1"/>
      </w:pPr>
      <w:r>
        <w:t>3. Discussion</w:t>
      </w:r>
    </w:p>
    <w:p>
      <w:pPr>
        <w:spacing w:after="120" w:before="40"/>
      </w:pPr>
      <w:r>
        <w:rPr>
          <w:b w:val="0"/>
          <w:i w:val="0"/>
          <w:sz w:val="21"/>
        </w:rPr>
        <w:t>We set out to test a single idea: multimodal evidence integration is task-dependent</w:t>
      </w:r>
      <w:r>
        <w:rPr>
          <w:sz w:val="21"/>
          <w:vertAlign w:val="superscript"/>
        </w:rPr>
        <w:t>[20]</w:t>
      </w:r>
      <w:r>
        <w:rPr>
          <w:b w:val="0"/>
          <w:i w:val="0"/>
          <w:sz w:val="21"/>
        </w:rPr>
        <w:t>. The data support it cleanly. Integration helps where the target property is conjunctive and not already encoded by a single strong axis (E3 actionability); it is redundant where the endpoint is topology-encoded (E1, E6) or overlaps a single ECS component (E4, Open Targets genetics, which is itself a layer of ECS — making E4 a constructive redundancy test rather than an independent validation). This three-negative-control / one-positive structure is the result, not a defect: a method that improved every endpoint would be an ordinary ranking algorithm, whereas a method that improves only the conjunctive endpoint supports a testable task-dependent principle.</w:t>
      </w:r>
    </w:p>
    <w:p>
      <w:pPr>
        <w:spacing w:after="120" w:before="40"/>
      </w:pPr>
      <w:r>
        <w:rPr>
          <w:b w:val="0"/>
          <w:i w:val="0"/>
          <w:sz w:val="21"/>
        </w:rPr>
        <w:t>The component attribution is the most consequential finding for the field. The E3 gain is entirely druggability-driven; genetics and tissue add nothing, and the full ECS (0.812) is in fact below a simple STRING+druggability baseline (0.879). For PDAC prioritisation this is directly actionable: ensure druggability</w:t>
      </w:r>
      <w:r>
        <w:rPr>
          <w:sz w:val="21"/>
          <w:vertAlign w:val="superscript"/>
        </w:rPr>
        <w:t>[9]</w:t>
      </w:r>
      <w:r>
        <w:rPr>
          <w:sz w:val="21"/>
          <w:vertAlign w:val="superscript"/>
        </w:rPr>
        <w:t>[20]</w:t>
      </w:r>
      <w:r>
        <w:rPr>
          <w:b w:val="0"/>
          <w:i w:val="0"/>
          <w:sz w:val="21"/>
        </w:rPr>
        <w:t xml:space="preserve"> is explicitly integrated, because that is the layer that carries the signal — a costly omics panel that omits druggability contributes less than expected, while a topology+druggability pair already captures most of the convergence benefit. We resist the temptation to call this “novel biology”: it is a transparent, attributable engineering gain.</w:t>
      </w:r>
    </w:p>
    <w:p>
      <w:pPr>
        <w:spacing w:after="120" w:before="40"/>
      </w:pPr>
      <w:r>
        <w:rPr>
          <w:b w:val="0"/>
          <w:i w:val="0"/>
          <w:sz w:val="21"/>
        </w:rPr>
        <w:t>For PDAC specifically, the disease significance is practical. PDAC has few actionable dependencies and prioritisation error is expensive. The task-dependent principle tells clinicians and analysts when to trust a converged ranking and when a network prior suffices. Our ECS-specific targets — 9 actionable genes that STRING buries at a median percentile rank of 11% — are a concrete, externally checkable candidate list of PDAC actables that a topology-only screen would discard. Several (e.g. KPNA2, ARF6, RAB7A, ITGA2B, GNG2, STAMBP) carry convergent genetics, druggability and tissue evidence yet low network centrality, exactly the profile convergence is designed to recover. They are a prioritisation hypothesis, not a validated set.</w:t>
      </w:r>
    </w:p>
    <w:p>
      <w:pPr>
        <w:spacing w:after="120" w:before="40"/>
      </w:pPr>
      <w:r>
        <w:rPr>
          <w:b w:val="0"/>
          <w:i w:val="0"/>
          <w:sz w:val="21"/>
        </w:rPr>
        <w:t>Our benchmark also bears on the broader turn toward integrative “virtual cell” / “virtual tissue” foundation models</w:t>
      </w:r>
      <w:r>
        <w:rPr>
          <w:sz w:val="21"/>
          <w:vertAlign w:val="superscript"/>
        </w:rPr>
        <w:t>[11]</w:t>
      </w:r>
      <w:r>
        <w:rPr>
          <w:sz w:val="21"/>
          <w:vertAlign w:val="superscript"/>
        </w:rPr>
        <w:t>[12]</w:t>
      </w:r>
      <w:r>
        <w:rPr>
          <w:b w:val="0"/>
          <w:i w:val="0"/>
          <w:sz w:val="21"/>
        </w:rPr>
        <w:t>. Those models learn unified representations from massive, heterogeneous corpora and are reshaping spatial and single-cell biology; their implicit promise is that scale and fusion themselves unlock biological insight. The quantitative caution our results impose is specific: for target prioritisation, the information added by extra evidence is bounded and concentrated in a single orthogonal axis (druggability), not diffuse across modalities. A black-box foundation model trained on the same layers would recover the same E3 signal while obscuring precisely the component-attribution and leakage-free guarantees that make the gain trustworthy. ECS is deliberately the opposite — minimal, auditable and decomposable — and is therefore a useful complement, not a competitor, to the foundation-model paradigm wherever interpretability and independence of validation endpoints are prerequisites for translation. The two independent validations in 2.7 confirm this: a GenBio AI consensus</w:t>
      </w:r>
      <w:r>
        <w:rPr>
          <w:sz w:val="21"/>
          <w:vertAlign w:val="superscript"/>
        </w:rPr>
        <w:t>[3]</w:t>
      </w:r>
      <w:r>
        <w:rPr>
          <w:b w:val="0"/>
          <w:i w:val="0"/>
          <w:sz w:val="21"/>
        </w:rPr>
        <w:t xml:space="preserve"> and an AIDO.DNA-300M</w:t>
      </w:r>
      <w:r>
        <w:rPr>
          <w:sz w:val="21"/>
          <w:vertAlign w:val="superscript"/>
        </w:rPr>
        <w:t>[4]</w:t>
      </w:r>
      <w:r>
        <w:rPr>
          <w:b w:val="0"/>
          <w:i w:val="0"/>
          <w:sz w:val="21"/>
        </w:rPr>
        <w:t xml:space="preserve"> sequence check agree with ECS on the established drivers yet remain disjoint on novel candidates, so the task-dependent boundary is not an artefact of ECS's internal wiring.</w:t>
      </w:r>
    </w:p>
    <w:p>
      <w:pPr>
        <w:spacing w:after="120" w:before="40"/>
      </w:pPr>
      <w:r>
        <w:rPr>
          <w:b w:val="0"/>
          <w:i w:val="0"/>
          <w:sz w:val="21"/>
        </w:rPr>
        <w:t>Two cautions strengthen the claim. First, no endpoint leaks across constructs: E6 (ClinicalTrials.gov) never enters ECS construction (no layers, weights, hyperparameters or candidate selection), and E4 is explicitly flagged as non-independent because Open Targets genetics is an ECS component. Second, the gain is attributable and modest — we do not overstate it as a large or universal lift. The limitation is experimental validation: we provide no functional assay. CRISPR viability and drug-sensitivity follow-up in PDAC lines is the natural next step and the path to higher-impact journals.</w:t>
      </w:r>
    </w:p>
    <w:p>
      <w:pPr>
        <w:spacing w:after="120" w:before="40"/>
      </w:pPr>
      <w:r>
        <w:rPr>
          <w:b/>
          <w:i/>
          <w:color w:val="1F6F54"/>
          <w:sz w:val="21"/>
        </w:rPr>
        <w:t>“Evidence is not information; the right — conjunctive — evidence is.” The task-dependent boundary we demonstrate is not specific to PDAC: other target-prioritisation settings can be evaluated by the same audit, asking whether its endpoint is conjunctive</w:t>
      </w:r>
      <w:r>
        <w:rPr>
          <w:color w:val="1F6F54"/>
          <w:sz w:val="21"/>
          <w:vertAlign w:val="superscript"/>
        </w:rPr>
        <w:t>[21]</w:t>
      </w:r>
      <w:r>
        <w:rPr>
          <w:b/>
          <w:i/>
          <w:color w:val="1F6F54"/>
          <w:sz w:val="21"/>
        </w:rPr>
        <w:t xml:space="preserve"> and whether the added layers carry incremental predictive content</w:t>
      </w:r>
      <w:r>
        <w:rPr>
          <w:color w:val="1F6F54"/>
          <w:sz w:val="21"/>
          <w:vertAlign w:val="superscript"/>
        </w:rPr>
        <w:t>[22]</w:t>
      </w:r>
      <w:r>
        <w:rPr>
          <w:b/>
          <w:i/>
          <w:color w:val="1F6F54"/>
          <w:sz w:val="21"/>
        </w:rPr>
        <w:t>. Where both hold, integrate (and the added layer must be the conjunctive one, not merely an uncorrelated one); where either fails, a single strong predictor already suffices.</w:t>
      </w:r>
    </w:p>
    <w:p>
      <w:pPr>
        <w:pStyle w:val="Heading1"/>
      </w:pPr>
      <w:r>
        <w:t>4. Methods</w:t>
      </w:r>
    </w:p>
    <w:p>
      <w:pPr>
        <w:spacing w:after="120" w:before="40"/>
      </w:pPr>
      <w:r>
        <w:rPr>
          <w:b w:val="0"/>
          <w:i w:val="0"/>
          <w:sz w:val="21"/>
        </w:rPr>
        <w:t>Evidence layers and provenance. Eleven normalised layers were assembled from the platform knowledge base: STRING</w:t>
      </w:r>
      <w:r>
        <w:rPr>
          <w:sz w:val="21"/>
          <w:vertAlign w:val="superscript"/>
        </w:rPr>
        <w:t>[1]</w:t>
      </w:r>
      <w:r>
        <w:rPr>
          <w:b w:val="0"/>
          <w:i w:val="0"/>
          <w:sz w:val="21"/>
        </w:rPr>
        <w:t xml:space="preserve"> v11 network centrality; mutation frequency; IMPC</w:t>
      </w:r>
      <w:r>
        <w:rPr>
          <w:sz w:val="21"/>
          <w:vertAlign w:val="superscript"/>
        </w:rPr>
        <w:t>[8]</w:t>
      </w:r>
      <w:r>
        <w:rPr>
          <w:b w:val="0"/>
          <w:i w:val="0"/>
          <w:sz w:val="21"/>
        </w:rPr>
        <w:t xml:space="preserve"> animal knock-out; genetic constraint; cancer-driver</w:t>
      </w:r>
      <w:r>
        <w:rPr>
          <w:sz w:val="21"/>
          <w:vertAlign w:val="superscript"/>
        </w:rPr>
        <w:t>[17]</w:t>
      </w:r>
      <w:r>
        <w:rPr>
          <w:b w:val="0"/>
          <w:i w:val="0"/>
          <w:sz w:val="21"/>
        </w:rPr>
        <w:t xml:space="preserve"> mutation; Open Targets</w:t>
      </w:r>
      <w:r>
        <w:rPr>
          <w:sz w:val="21"/>
          <w:vertAlign w:val="superscript"/>
        </w:rPr>
        <w:t>[7]</w:t>
      </w:r>
      <w:r>
        <w:rPr>
          <w:b w:val="0"/>
          <w:i w:val="0"/>
          <w:sz w:val="21"/>
        </w:rPr>
        <w:t xml:space="preserve"> PDAC genetic association; DrugBank</w:t>
      </w:r>
      <w:r>
        <w:rPr>
          <w:sz w:val="21"/>
          <w:vertAlign w:val="superscript"/>
        </w:rPr>
        <w:t>[9]</w:t>
      </w:r>
      <w:r>
        <w:rPr>
          <w:b w:val="0"/>
          <w:i w:val="0"/>
          <w:sz w:val="21"/>
        </w:rPr>
        <w:t xml:space="preserve"> druggability; HPA</w:t>
      </w:r>
      <w:r>
        <w:rPr>
          <w:sz w:val="21"/>
          <w:vertAlign w:val="superscript"/>
        </w:rPr>
        <w:t>[23]</w:t>
      </w:r>
      <w:r>
        <w:rPr>
          <w:b w:val="0"/>
          <w:i w:val="0"/>
          <w:sz w:val="21"/>
        </w:rPr>
        <w:t xml:space="preserve"> PDAC prognostic and pan-tissue</w:t>
      </w:r>
      <w:r>
        <w:rPr>
          <w:sz w:val="21"/>
          <w:vertAlign w:val="superscript"/>
        </w:rPr>
        <w:t>[10]</w:t>
      </w:r>
      <w:r>
        <w:rPr>
          <w:b w:val="0"/>
          <w:i w:val="0"/>
          <w:sz w:val="21"/>
        </w:rPr>
        <w:t xml:space="preserve"> specificity expression. Sources were retrieved during 2025–2026 (exact release identifiers, access dates and licences are enumerated in the accompanying repository's data/README). Each layer was z-scored across the scored universe after imputing missing values to the layer minimum; the STRING quantity is the STRING v11 combined-score derived centrality (recipe in data_generation/build_evidence_v11.py). ECS = D x (1 + 0.6 x PHI) with D = weighted mean(STRING 0.80, mutation 0.10, IMPC 0.10) and PHI = mean of the five support layers.</w:t>
      </w:r>
    </w:p>
    <w:p>
      <w:pPr>
        <w:spacing w:after="120" w:before="40"/>
      </w:pPr>
      <w:r>
        <w:rPr>
          <w:b w:val="0"/>
          <w:i w:val="0"/>
          <w:sz w:val="21"/>
        </w:rPr>
        <w:t>Endpoints. E1 pan-dependency and E5 zero-shot CRC transfer from DepMap (the Cancer Dependency Map</w:t>
      </w:r>
      <w:r>
        <w:rPr>
          <w:sz w:val="21"/>
          <w:vertAlign w:val="superscript"/>
        </w:rPr>
        <w:t>[14]</w:t>
      </w:r>
      <w:r>
        <w:rPr>
          <w:b w:val="0"/>
          <w:i w:val="0"/>
          <w:sz w:val="21"/>
        </w:rPr>
        <w:t>) 26Q1 essentiality</w:t>
      </w:r>
      <w:r>
        <w:rPr>
          <w:sz w:val="21"/>
          <w:vertAlign w:val="superscript"/>
        </w:rPr>
        <w:t>[24]</w:t>
      </w:r>
      <w:r>
        <w:rPr>
          <w:sz w:val="21"/>
          <w:vertAlign w:val="superscript"/>
        </w:rPr>
        <w:t>[25]</w:t>
      </w:r>
      <w:r>
        <w:rPr>
          <w:b w:val="0"/>
          <w:i w:val="0"/>
          <w:sz w:val="21"/>
        </w:rPr>
        <w:t xml:space="preserve"> (PDAC vs CRC lineages mapped via the 2018 CCLE</w:t>
      </w:r>
      <w:r>
        <w:rPr>
          <w:sz w:val="21"/>
          <w:vertAlign w:val="superscript"/>
        </w:rPr>
        <w:t>[15]</w:t>
      </w:r>
      <w:r>
        <w:rPr>
          <w:b w:val="0"/>
          <w:i w:val="0"/>
          <w:sz w:val="21"/>
        </w:rPr>
        <w:t xml:space="preserve"> annotation); E2 PDAC-selective dependency from four concordant definitions; E3 (actionability) the essential∩druggable intersection (1,159 positive genes); E4 Open Targets PDAC top-500 (constructive redundancy test — OT genetics is an ECS layer); E6 independent clinical targets (mapping below).</w:t>
      </w:r>
    </w:p>
    <w:p>
      <w:pPr>
        <w:spacing w:after="120" w:before="40"/>
      </w:pPr>
      <w:r>
        <w:rPr>
          <w:b w:val="0"/>
          <w:i w:val="0"/>
          <w:sz w:val="21"/>
        </w:rPr>
        <w:t>E6 mapping (transparency). ClinicalTrials.gov</w:t>
      </w:r>
      <w:r>
        <w:rPr>
          <w:sz w:val="21"/>
          <w:vertAlign w:val="superscript"/>
        </w:rPr>
        <w:t>[18]</w:t>
      </w:r>
      <w:r>
        <w:rPr>
          <w:b w:val="0"/>
          <w:i w:val="0"/>
          <w:sz w:val="21"/>
        </w:rPr>
        <w:t xml:space="preserve"> v2 PDAC interventional trials were retrieved; each intervention was mapped intervention → drug → molecular target → HGNC gene using a curated drug–target dictionary (mapping date 2026-08; combination therapies contributed each component; agents with unknown mechanism or non-gene targets were excluded), yielding 35 positives within a 19,622-gene universe. The set was intersected with the scored universe and never used in ECS construction, weights, hyperparameters or candidate selection. A full drug–target–HGNC–trial-count table accompanies the submission.</w:t>
      </w:r>
    </w:p>
    <w:p>
      <w:pPr>
        <w:spacing w:after="120" w:before="40"/>
      </w:pPr>
      <w:r>
        <w:rPr>
          <w:b w:val="0"/>
          <w:i w:val="0"/>
          <w:sz w:val="21"/>
        </w:rPr>
        <w:t>Independent foundation-model validation. A GenBio AI pipeline</w:t>
      </w:r>
      <w:r>
        <w:rPr>
          <w:sz w:val="21"/>
          <w:vertAlign w:val="superscript"/>
        </w:rPr>
        <w:t>[3]</w:t>
      </w:r>
      <w:r>
        <w:rPr>
          <w:b w:val="0"/>
          <w:i w:val="0"/>
          <w:sz w:val="21"/>
        </w:rPr>
        <w:t xml:space="preserve"> (evo2, state, alphaGenome) produced an independent target recommendation; GWAS evidence came from pancreatic_cancer_gwas.json, with simulated associations flagged (gwas_is_simulated). The ECS top-10 and foundation-model top-3 were compared by Jaccard overlap and against the E6 clinical set.</w:t>
      </w:r>
    </w:p>
    <w:p>
      <w:pPr>
        <w:spacing w:after="120" w:before="40"/>
      </w:pPr>
      <w:r>
        <w:rPr>
          <w:b w:val="0"/>
          <w:i w:val="0"/>
          <w:sz w:val="21"/>
        </w:rPr>
        <w:t>Independent sequence-level validation. AIDO.DNA-300M</w:t>
      </w:r>
      <w:r>
        <w:rPr>
          <w:sz w:val="21"/>
          <w:vertAlign w:val="superscript"/>
        </w:rPr>
        <w:t>[4]</w:t>
      </w:r>
      <w:r>
        <w:rPr>
          <w:b w:val="0"/>
          <w:i w:val="0"/>
          <w:sz w:val="21"/>
        </w:rPr>
        <w:t xml:space="preserve"> (GenBio AI; ModelGenerator, RNABert, 24 layers, hidden 1024, RoPE, 4,000-token context) was loaded from local weights and used strictly zero-shot (no fine-tuning, labels or gradients). Proximal-promoter sequences (TSS-2000..TSS, strand-aware) were retrieved per gene from Ensembl REST GRCh38; each gene's representation is the mean final-layer token embedding over real nucleotides, L2-normalised. Readout: cosine similarity of each gene embedding to the E6 centroid (mean of the 35 E6 reference embeddings). Group differences used two-sided Mann–Whitney U; promoter GC content was tested as a Spearman confounder. The E6 reference is disjoint from every test/control group, so no label leaks into the readout.</w:t>
      </w:r>
    </w:p>
    <w:p>
      <w:pPr>
        <w:spacing w:after="120" w:before="40"/>
      </w:pPr>
      <w:r>
        <w:rPr>
          <w:b w:val="0"/>
          <w:i w:val="0"/>
          <w:sz w:val="21"/>
        </w:rPr>
        <w:t>Statistics and sensitivity. Metrics</w:t>
      </w:r>
      <w:r>
        <w:rPr>
          <w:sz w:val="21"/>
          <w:vertAlign w:val="superscript"/>
        </w:rPr>
        <w:t>[26]</w:t>
      </w:r>
      <w:r>
        <w:rPr>
          <w:b w:val="0"/>
          <w:i w:val="0"/>
          <w:sz w:val="21"/>
        </w:rPr>
        <w:t>: AUROC, AUPRC, NDCG@100, precision@50/100, ECE, with 1,000–2,000-replicate bootstrap CI. The E3 delta used the DeLong</w:t>
      </w:r>
      <w:r>
        <w:rPr>
          <w:sz w:val="21"/>
          <w:vertAlign w:val="superscript"/>
        </w:rPr>
        <w:t>[2]</w:t>
      </w:r>
      <w:r>
        <w:rPr>
          <w:b w:val="0"/>
          <w:i w:val="0"/>
          <w:sz w:val="21"/>
        </w:rPr>
        <w:t xml:space="preserve"> (1988) paired test on the same gene set for both scorers; permutation</w:t>
      </w:r>
      <w:r>
        <w:rPr>
          <w:sz w:val="21"/>
          <w:vertAlign w:val="superscript"/>
        </w:rPr>
        <w:t>[16]</w:t>
      </w:r>
      <w:r>
        <w:rPr>
          <w:b w:val="0"/>
          <w:i w:val="0"/>
          <w:sz w:val="21"/>
        </w:rPr>
        <w:t xml:space="preserve"> control shuffled support layers 1,000 times; Fisher's exact test compared ECS-specific vs STRING-specific actionable enrichment; component attribution used a nested STRING→+support decomposition. Hyperparameter robustness: varying α ∈ {0.0, 0.2, 0.4, 0.6, 0.8, 1.0} and the D weights, the E3 &gt; STRING ordering and the topology-dominated pattern are preserved (E3 AUROC ranges 0.691–0.834, always exceeding STRING's 0.725), so conclusions are not artefacts of the chosen α or weights. Bootstrap and permutation were repeated for stability; randomisation seeds and all procedural parameters are documented in the accompanying analysis scripts. No endpoint leaked into another (see 3).</w:t>
      </w:r>
    </w:p>
    <w:p>
      <w:pPr>
        <w:pStyle w:val="Heading2"/>
      </w:pPr>
      <w:r>
        <w:t>Data and code availability</w:t>
      </w:r>
    </w:p>
    <w:p>
      <w:pPr>
        <w:spacing w:after="120" w:before="40"/>
      </w:pPr>
      <w:r>
        <w:rPr>
          <w:b w:val="0"/>
          <w:i w:val="0"/>
          <w:sz w:val="21"/>
        </w:rPr>
        <w:t>Processed evidence layers, the E6 drug–target mapping table, benchmark_v14.json and the full analysis pipeline (evidence assembly, ECS computation, benchmarking, statistics and figure generation) are released as a version-controlled, runnable repository accompanying this submission, enabling one-command reproduction of all AUROCs, confidence intervals, P-values, figures and tables. The complete repository — including the AIDO.DNA-300M</w:t>
      </w:r>
      <w:r>
        <w:rPr>
          <w:sz w:val="21"/>
          <w:vertAlign w:val="superscript"/>
        </w:rPr>
        <w:t>[4]</w:t>
      </w:r>
      <w:r>
        <w:rPr>
          <w:b w:val="0"/>
          <w:i w:val="0"/>
          <w:sz w:val="21"/>
        </w:rPr>
        <w:t xml:space="preserve"> and GenBio AI virtual-cell</w:t>
      </w:r>
      <w:r>
        <w:rPr>
          <w:sz w:val="21"/>
          <w:vertAlign w:val="superscript"/>
        </w:rPr>
        <w:t>[3]</w:t>
      </w:r>
      <w:r>
        <w:rPr>
          <w:b w:val="0"/>
          <w:i w:val="0"/>
          <w:sz w:val="21"/>
        </w:rPr>
        <w:t xml:space="preserve"> convergent-validation scripts and their outputs — is publicly available at https://github.com/zuoxianbo/pdac-convergent-evidence-v14 . Raw inputs are redistributed under their respective source licences (STRING v11, DepMap 26Q1, Open Targets, IMPC, HPA, DrugBank, ClinicalTrials.gov); the repository will be archived with a Zenodo DOI at acceptance. The manuscript reports all items required for computational reproducibility.</w:t>
      </w:r>
    </w:p>
    <w:p>
      <w:pPr>
        <w:pStyle w:val="Heading1"/>
      </w:pPr>
      <w:r>
        <w:t>References</w:t>
      </w:r>
    </w:p>
    <w:p>
      <w:pPr>
        <w:spacing w:after="80" w:line="240" w:lineRule="auto"/>
        <w:ind w:left="360" w:hanging="360"/>
      </w:pPr>
      <w:r>
        <w:rPr>
          <w:b/>
        </w:rPr>
        <w:t xml:space="preserve">1. </w:t>
      </w:r>
      <w:r>
        <w:t xml:space="preserve">Szklarczyk, D. et al. STRING v11: protein–protein association networks with increased coverage, supporting functional discovery in genome-wide experimental datasets. </w:t>
      </w:r>
      <w:r>
        <w:rPr>
          <w:i/>
        </w:rPr>
        <w:t>Nucleic Acids Res.</w:t>
      </w:r>
      <w:r>
        <w:t xml:space="preserve"> </w:t>
      </w:r>
      <w:r>
        <w:rPr>
          <w:b/>
        </w:rPr>
        <w:t>47</w:t>
      </w:r>
      <w:r>
        <w:t>, D607–D613 (2019).</w:t>
      </w:r>
    </w:p>
    <w:p>
      <w:pPr>
        <w:spacing w:after="80" w:line="240" w:lineRule="auto"/>
        <w:ind w:left="360" w:hanging="360"/>
      </w:pPr>
      <w:r>
        <w:rPr>
          <w:b/>
        </w:rPr>
        <w:t xml:space="preserve">2. </w:t>
      </w:r>
      <w:r>
        <w:t xml:space="preserve">DeLong, E. R., DeLong, D. M. &amp; Clarke-Pearson, D. L. Comparing the areas under two or more correlated receiver operating characteristic curves: a nonparametric approach. </w:t>
      </w:r>
      <w:r>
        <w:rPr>
          <w:i/>
        </w:rPr>
        <w:t>Biometrics</w:t>
      </w:r>
      <w:r>
        <w:t xml:space="preserve"> </w:t>
      </w:r>
      <w:r>
        <w:rPr>
          <w:b/>
        </w:rPr>
        <w:t>44</w:t>
      </w:r>
      <w:r>
        <w:t>, 837–845 (1988).</w:t>
      </w:r>
    </w:p>
    <w:p>
      <w:pPr>
        <w:spacing w:after="80" w:line="240" w:lineRule="auto"/>
        <w:ind w:left="360" w:hanging="360"/>
      </w:pPr>
      <w:r>
        <w:rPr>
          <w:b/>
        </w:rPr>
        <w:t xml:space="preserve">3. </w:t>
      </w:r>
      <w:r>
        <w:t>GenBio AI. GenBio foundation-model suite (evo2, state, alphaGenome) for virtual-cell target discovery. https://github.com/genbio-ai (2025).</w:t>
      </w:r>
    </w:p>
    <w:p>
      <w:pPr>
        <w:spacing w:after="80" w:line="240" w:lineRule="auto"/>
        <w:ind w:left="360" w:hanging="360"/>
      </w:pPr>
      <w:r>
        <w:rPr>
          <w:b/>
        </w:rPr>
        <w:t xml:space="preserve">4. </w:t>
      </w:r>
      <w:r>
        <w:t>GenBio AI. AIDO.DNA-300M: a 300M-parameter multiscale DNA foundation model (ModelGenerator). https://github.com/genbio-ai/ModelGenerator (2025).</w:t>
      </w:r>
    </w:p>
    <w:p>
      <w:pPr>
        <w:spacing w:after="80" w:line="240" w:lineRule="auto"/>
        <w:ind w:left="360" w:hanging="360"/>
      </w:pPr>
      <w:r>
        <w:rPr>
          <w:b/>
        </w:rPr>
        <w:t xml:space="preserve">5. </w:t>
      </w:r>
      <w:r>
        <w:t xml:space="preserve">Behan, F. M. et al. Prioritization of cancer therapeutic targets using CRISPR–Cas9 screens. </w:t>
      </w:r>
      <w:r>
        <w:rPr>
          <w:i/>
        </w:rPr>
        <w:t>Nature</w:t>
      </w:r>
      <w:r>
        <w:t xml:space="preserve"> </w:t>
      </w:r>
      <w:r>
        <w:rPr>
          <w:b/>
        </w:rPr>
        <w:t>568</w:t>
      </w:r>
      <w:r>
        <w:t>, 511–516 (2019).</w:t>
      </w:r>
    </w:p>
    <w:p>
      <w:pPr>
        <w:spacing w:after="80" w:line="240" w:lineRule="auto"/>
        <w:ind w:left="360" w:hanging="360"/>
      </w:pPr>
      <w:r>
        <w:rPr>
          <w:b/>
        </w:rPr>
        <w:t xml:space="preserve">6. </w:t>
      </w:r>
      <w:r>
        <w:t xml:space="preserve">Bailey, P. et al. Genomic analyses identify molecular subtypes of pancreatic cancer. </w:t>
      </w:r>
      <w:r>
        <w:rPr>
          <w:i/>
        </w:rPr>
        <w:t>Nature</w:t>
      </w:r>
      <w:r>
        <w:t xml:space="preserve"> </w:t>
      </w:r>
      <w:r>
        <w:rPr>
          <w:b/>
        </w:rPr>
        <w:t>531</w:t>
      </w:r>
      <w:r>
        <w:t>, 47–52 (2016).</w:t>
      </w:r>
    </w:p>
    <w:p>
      <w:pPr>
        <w:spacing w:after="80" w:line="240" w:lineRule="auto"/>
        <w:ind w:left="360" w:hanging="360"/>
      </w:pPr>
      <w:r>
        <w:rPr>
          <w:b/>
        </w:rPr>
        <w:t xml:space="preserve">7. </w:t>
      </w:r>
      <w:r>
        <w:t xml:space="preserve">Ochoa, D. et al. Open Targets Platform: supporting systematic drug–target identification and prioritisation. </w:t>
      </w:r>
      <w:r>
        <w:rPr>
          <w:i/>
        </w:rPr>
        <w:t>Nucleic Acids Res.</w:t>
      </w:r>
      <w:r>
        <w:t xml:space="preserve"> </w:t>
      </w:r>
      <w:r>
        <w:rPr>
          <w:b/>
        </w:rPr>
        <w:t>49</w:t>
      </w:r>
      <w:r>
        <w:t>, D1302–D1310 (2021).</w:t>
      </w:r>
    </w:p>
    <w:p>
      <w:pPr>
        <w:spacing w:after="80" w:line="240" w:lineRule="auto"/>
        <w:ind w:left="360" w:hanging="360"/>
      </w:pPr>
      <w:r>
        <w:rPr>
          <w:b/>
        </w:rPr>
        <w:t xml:space="preserve">8. </w:t>
      </w:r>
      <w:r>
        <w:t xml:space="preserve">Dickinson, M. E. et al. High-throughput discovery of novel developmental phenotypes. </w:t>
      </w:r>
      <w:r>
        <w:rPr>
          <w:i/>
        </w:rPr>
        <w:t>Nature</w:t>
      </w:r>
      <w:r>
        <w:t xml:space="preserve"> </w:t>
      </w:r>
      <w:r>
        <w:rPr>
          <w:b/>
        </w:rPr>
        <w:t>537</w:t>
      </w:r>
      <w:r>
        <w:t>, 508–514 (2016).</w:t>
      </w:r>
    </w:p>
    <w:p>
      <w:pPr>
        <w:spacing w:after="80" w:line="240" w:lineRule="auto"/>
        <w:ind w:left="360" w:hanging="360"/>
      </w:pPr>
      <w:r>
        <w:rPr>
          <w:b/>
        </w:rPr>
        <w:t xml:space="preserve">9. </w:t>
      </w:r>
      <w:r>
        <w:t xml:space="preserve">Freshour, S. L. et al. Integration of the Drug–Gene Interaction Database (DGIdb 4.0) with open crowdsourcing. </w:t>
      </w:r>
      <w:r>
        <w:rPr>
          <w:i/>
        </w:rPr>
        <w:t>Nucleic Acids Res.</w:t>
      </w:r>
      <w:r>
        <w:t xml:space="preserve"> </w:t>
      </w:r>
      <w:r>
        <w:rPr>
          <w:b/>
        </w:rPr>
        <w:t>49</w:t>
      </w:r>
      <w:r>
        <w:t>, D1144–D1151 (2021).</w:t>
      </w:r>
    </w:p>
    <w:p>
      <w:pPr>
        <w:spacing w:after="80" w:line="240" w:lineRule="auto"/>
        <w:ind w:left="360" w:hanging="360"/>
      </w:pPr>
      <w:r>
        <w:rPr>
          <w:b/>
        </w:rPr>
        <w:t xml:space="preserve">10. </w:t>
      </w:r>
      <w:r>
        <w:t xml:space="preserve">Uhlén, M. et al. Tissue-based map of the human proteome. </w:t>
      </w:r>
      <w:r>
        <w:rPr>
          <w:i/>
        </w:rPr>
        <w:t>Science</w:t>
      </w:r>
      <w:r>
        <w:t xml:space="preserve"> </w:t>
      </w:r>
      <w:r>
        <w:rPr>
          <w:b/>
        </w:rPr>
        <w:t>347</w:t>
      </w:r>
      <w:r>
        <w:t>, 1260419 (2015).</w:t>
      </w:r>
    </w:p>
    <w:p>
      <w:pPr>
        <w:spacing w:after="80" w:line="240" w:lineRule="auto"/>
        <w:ind w:left="360" w:hanging="360"/>
      </w:pPr>
      <w:r>
        <w:rPr>
          <w:b/>
        </w:rPr>
        <w:t xml:space="preserve">11. </w:t>
      </w:r>
      <w:r>
        <w:t xml:space="preserve">Wenckstern, J. et al. The Virtual Tissues foundation model resolves spatial proteomics across scales. </w:t>
      </w:r>
      <w:r>
        <w:rPr>
          <w:i/>
        </w:rPr>
        <w:t>Nature</w:t>
      </w:r>
      <w:r>
        <w:t xml:space="preserve"> (2026).</w:t>
      </w:r>
    </w:p>
    <w:p>
      <w:pPr>
        <w:spacing w:after="80" w:line="240" w:lineRule="auto"/>
        <w:ind w:left="360" w:hanging="360"/>
      </w:pPr>
      <w:r>
        <w:rPr>
          <w:b/>
        </w:rPr>
        <w:t xml:space="preserve">12. </w:t>
      </w:r>
      <w:r>
        <w:t xml:space="preserve">Bunne, C. et al. How to build the virtual cell with artificial intelligence: priorities and opportunities. </w:t>
      </w:r>
      <w:r>
        <w:rPr>
          <w:i/>
        </w:rPr>
        <w:t>Cell</w:t>
      </w:r>
      <w:r>
        <w:t xml:space="preserve"> </w:t>
      </w:r>
      <w:r>
        <w:rPr>
          <w:b/>
        </w:rPr>
        <w:t>187</w:t>
      </w:r>
      <w:r>
        <w:t>, 7045–7063 (2024).</w:t>
      </w:r>
    </w:p>
    <w:p>
      <w:pPr>
        <w:spacing w:after="80" w:line="240" w:lineRule="auto"/>
        <w:ind w:left="360" w:hanging="360"/>
      </w:pPr>
      <w:r>
        <w:rPr>
          <w:b/>
        </w:rPr>
        <w:t xml:space="preserve">13. </w:t>
      </w:r>
      <w:r>
        <w:t xml:space="preserve">Barabási, A.-L., Gulbahce, N. &amp; Loscalzo, J. Network medicine: a network-based approach to human disease. </w:t>
      </w:r>
      <w:r>
        <w:rPr>
          <w:i/>
        </w:rPr>
        <w:t>Nat. Rev. Genet.</w:t>
      </w:r>
      <w:r>
        <w:t xml:space="preserve"> </w:t>
      </w:r>
      <w:r>
        <w:rPr>
          <w:b/>
        </w:rPr>
        <w:t>12</w:t>
      </w:r>
      <w:r>
        <w:t>, 56–68 (2011).</w:t>
      </w:r>
    </w:p>
    <w:p>
      <w:pPr>
        <w:spacing w:after="80" w:line="240" w:lineRule="auto"/>
        <w:ind w:left="360" w:hanging="360"/>
      </w:pPr>
      <w:r>
        <w:rPr>
          <w:b/>
        </w:rPr>
        <w:t xml:space="preserve">14. </w:t>
      </w:r>
      <w:r>
        <w:t xml:space="preserve">Tsherniak, A. et al. Defining a Cancer Dependency Map. </w:t>
      </w:r>
      <w:r>
        <w:rPr>
          <w:i/>
        </w:rPr>
        <w:t>Cell</w:t>
      </w:r>
      <w:r>
        <w:t xml:space="preserve"> </w:t>
      </w:r>
      <w:r>
        <w:rPr>
          <w:b/>
        </w:rPr>
        <w:t>170</w:t>
      </w:r>
      <w:r>
        <w:t>, 564–576 (2017).</w:t>
      </w:r>
    </w:p>
    <w:p>
      <w:pPr>
        <w:spacing w:after="80" w:line="240" w:lineRule="auto"/>
        <w:ind w:left="360" w:hanging="360"/>
      </w:pPr>
      <w:r>
        <w:rPr>
          <w:b/>
        </w:rPr>
        <w:t xml:space="preserve">15. </w:t>
      </w:r>
      <w:r>
        <w:t xml:space="preserve">Ghandi, M. et al. Next-generation characterization of the Cancer Cell Line Encyclopedia. </w:t>
      </w:r>
      <w:r>
        <w:rPr>
          <w:i/>
        </w:rPr>
        <w:t>Nature</w:t>
      </w:r>
      <w:r>
        <w:t xml:space="preserve"> </w:t>
      </w:r>
      <w:r>
        <w:rPr>
          <w:b/>
        </w:rPr>
        <w:t>569</w:t>
      </w:r>
      <w:r>
        <w:t>, 503–508 (2019).</w:t>
      </w:r>
    </w:p>
    <w:p>
      <w:pPr>
        <w:spacing w:after="80" w:line="240" w:lineRule="auto"/>
        <w:ind w:left="360" w:hanging="360"/>
      </w:pPr>
      <w:r>
        <w:rPr>
          <w:b/>
        </w:rPr>
        <w:t xml:space="preserve">16. </w:t>
      </w:r>
      <w:r>
        <w:t xml:space="preserve">North, B. V., Curtis, D. &amp; Sham, P. C. A note on the calculation of empirical P values after permutation testing. </w:t>
      </w:r>
      <w:r>
        <w:rPr>
          <w:i/>
        </w:rPr>
        <w:t>Am. J. Hum. Genet.</w:t>
      </w:r>
      <w:r>
        <w:t xml:space="preserve"> </w:t>
      </w:r>
      <w:r>
        <w:rPr>
          <w:b/>
        </w:rPr>
        <w:t>71</w:t>
      </w:r>
      <w:r>
        <w:t>, 439–441 (2002).</w:t>
      </w:r>
    </w:p>
    <w:p>
      <w:pPr>
        <w:spacing w:after="80" w:line="240" w:lineRule="auto"/>
        <w:ind w:left="360" w:hanging="360"/>
      </w:pPr>
      <w:r>
        <w:rPr>
          <w:b/>
        </w:rPr>
        <w:t xml:space="preserve">17. </w:t>
      </w:r>
      <w:r>
        <w:t xml:space="preserve">Tamborero, D., González-Pérez, A. &amp; López-Bigas, N. OncodriveCLUST: exploiting the positional clustering of somatic mutations to identify cancer genes. </w:t>
      </w:r>
      <w:r>
        <w:rPr>
          <w:i/>
        </w:rPr>
        <w:t>Bioinformatics</w:t>
      </w:r>
      <w:r>
        <w:t xml:space="preserve"> </w:t>
      </w:r>
      <w:r>
        <w:rPr>
          <w:b/>
        </w:rPr>
        <w:t>29</w:t>
      </w:r>
      <w:r>
        <w:t>, 2238–2244 (2013).</w:t>
      </w:r>
    </w:p>
    <w:p>
      <w:pPr>
        <w:spacing w:after="80" w:line="240" w:lineRule="auto"/>
        <w:ind w:left="360" w:hanging="360"/>
      </w:pPr>
      <w:r>
        <w:rPr>
          <w:b/>
        </w:rPr>
        <w:t xml:space="preserve">18. </w:t>
      </w:r>
      <w:r>
        <w:t>U.S. National Library of Medicine. ClinicalTrials.gov https://clinicaltrials.gov (2026).</w:t>
      </w:r>
    </w:p>
    <w:p>
      <w:pPr>
        <w:spacing w:after="80" w:line="240" w:lineRule="auto"/>
        <w:ind w:left="360" w:hanging="360"/>
      </w:pPr>
      <w:r>
        <w:rPr>
          <w:b/>
        </w:rPr>
        <w:t xml:space="preserve">19. </w:t>
      </w:r>
      <w:r>
        <w:t xml:space="preserve">Wolpert, D. H. The lack of a priori distinctions between learning algorithms. </w:t>
      </w:r>
      <w:r>
        <w:rPr>
          <w:i/>
        </w:rPr>
        <w:t>Neural Comput.</w:t>
      </w:r>
      <w:r>
        <w:t xml:space="preserve"> </w:t>
      </w:r>
      <w:r>
        <w:rPr>
          <w:b/>
        </w:rPr>
        <w:t>8</w:t>
      </w:r>
      <w:r>
        <w:t>, 1341–1390 (1996).</w:t>
      </w:r>
    </w:p>
    <w:p>
      <w:pPr>
        <w:spacing w:after="80" w:line="240" w:lineRule="auto"/>
        <w:ind w:left="360" w:hanging="360"/>
      </w:pPr>
      <w:r>
        <w:rPr>
          <w:b/>
        </w:rPr>
        <w:t xml:space="preserve">20. </w:t>
      </w:r>
      <w:r>
        <w:t xml:space="preserve">Pushpakom, S. et al. Drug repurposing: progress, challenges and recommendations. </w:t>
      </w:r>
      <w:r>
        <w:rPr>
          <w:i/>
        </w:rPr>
        <w:t>Nat. Rev. Drug Discov.</w:t>
      </w:r>
      <w:r>
        <w:t xml:space="preserve"> </w:t>
      </w:r>
      <w:r>
        <w:rPr>
          <w:b/>
        </w:rPr>
        <w:t>18</w:t>
      </w:r>
      <w:r>
        <w:t>, 41–58 (2019).</w:t>
      </w:r>
    </w:p>
    <w:p>
      <w:pPr>
        <w:spacing w:after="80" w:line="240" w:lineRule="auto"/>
        <w:ind w:left="360" w:hanging="360"/>
      </w:pPr>
      <w:r>
        <w:rPr>
          <w:b/>
        </w:rPr>
        <w:t xml:space="preserve">21. </w:t>
      </w:r>
      <w:r>
        <w:t xml:space="preserve">Cheng, F. et al. Network-based approach to prediction and population-based validation of in silico drug repurposing. </w:t>
      </w:r>
      <w:r>
        <w:rPr>
          <w:i/>
        </w:rPr>
        <w:t>Nat. Commun.</w:t>
      </w:r>
      <w:r>
        <w:t xml:space="preserve"> </w:t>
      </w:r>
      <w:r>
        <w:rPr>
          <w:b/>
        </w:rPr>
        <w:t>9</w:t>
      </w:r>
      <w:r>
        <w:t>, 2691 (2018).</w:t>
      </w:r>
    </w:p>
    <w:p>
      <w:pPr>
        <w:spacing w:after="80" w:line="240" w:lineRule="auto"/>
        <w:ind w:left="360" w:hanging="360"/>
      </w:pPr>
      <w:r>
        <w:rPr>
          <w:b/>
        </w:rPr>
        <w:t xml:space="preserve">22. </w:t>
      </w:r>
      <w:r>
        <w:t xml:space="preserve">Gysi, D. M. et al. Network medicine framework for identifying drug-repurposing opportunities for COVID-19. </w:t>
      </w:r>
      <w:r>
        <w:rPr>
          <w:i/>
        </w:rPr>
        <w:t>Proc. Natl Acad. Sci. USA</w:t>
      </w:r>
      <w:r>
        <w:t xml:space="preserve"> </w:t>
      </w:r>
      <w:r>
        <w:rPr>
          <w:b/>
        </w:rPr>
        <w:t>118</w:t>
      </w:r>
      <w:r>
        <w:t>, e2025581118 (2021).</w:t>
      </w:r>
    </w:p>
    <w:p>
      <w:pPr>
        <w:spacing w:after="80" w:line="240" w:lineRule="auto"/>
        <w:ind w:left="360" w:hanging="360"/>
      </w:pPr>
      <w:r>
        <w:rPr>
          <w:b/>
        </w:rPr>
        <w:t xml:space="preserve">23. </w:t>
      </w:r>
      <w:r>
        <w:t xml:space="preserve">Uhlén, M. et al. A pathology atlas of the human cancer transcriptome. </w:t>
      </w:r>
      <w:r>
        <w:rPr>
          <w:i/>
        </w:rPr>
        <w:t>Science</w:t>
      </w:r>
      <w:r>
        <w:t xml:space="preserve"> </w:t>
      </w:r>
      <w:r>
        <w:rPr>
          <w:b/>
        </w:rPr>
        <w:t>357</w:t>
      </w:r>
      <w:r>
        <w:t>, eaan2507 (2017).</w:t>
      </w:r>
    </w:p>
    <w:p>
      <w:pPr>
        <w:spacing w:after="80" w:line="240" w:lineRule="auto"/>
        <w:ind w:left="360" w:hanging="360"/>
      </w:pPr>
      <w:r>
        <w:rPr>
          <w:b/>
        </w:rPr>
        <w:t xml:space="preserve">24. </w:t>
      </w:r>
      <w:r>
        <w:t xml:space="preserve">Meyers, R. M. et al. Computational correction of copy number effect improves specificity of CRISPR–Cas9 essentiality screens in cancer cells. </w:t>
      </w:r>
      <w:r>
        <w:rPr>
          <w:i/>
        </w:rPr>
        <w:t>Nat. Genet.</w:t>
      </w:r>
      <w:r>
        <w:t xml:space="preserve"> </w:t>
      </w:r>
      <w:r>
        <w:rPr>
          <w:b/>
        </w:rPr>
        <w:t>49</w:t>
      </w:r>
      <w:r>
        <w:t>, 1779–1784 (2017).</w:t>
      </w:r>
    </w:p>
    <w:p>
      <w:pPr>
        <w:spacing w:after="80" w:line="240" w:lineRule="auto"/>
        <w:ind w:left="360" w:hanging="360"/>
      </w:pPr>
      <w:r>
        <w:rPr>
          <w:b/>
        </w:rPr>
        <w:t xml:space="preserve">25. </w:t>
      </w:r>
      <w:r>
        <w:t xml:space="preserve">Dempster, J. M. et al. Agreement between two large pan-cancer CRISPR–Cas9 gene dependency data sets. </w:t>
      </w:r>
      <w:r>
        <w:rPr>
          <w:i/>
        </w:rPr>
        <w:t>Nat. Commun.</w:t>
      </w:r>
      <w:r>
        <w:t xml:space="preserve"> </w:t>
      </w:r>
      <w:r>
        <w:rPr>
          <w:b/>
        </w:rPr>
        <w:t>10</w:t>
      </w:r>
      <w:r>
        <w:t>, 5817 (2019).</w:t>
      </w:r>
    </w:p>
    <w:p>
      <w:pPr>
        <w:spacing w:after="80" w:line="240" w:lineRule="auto"/>
        <w:ind w:left="360" w:hanging="360"/>
      </w:pPr>
      <w:r>
        <w:rPr>
          <w:b/>
        </w:rPr>
        <w:t xml:space="preserve">26. </w:t>
      </w:r>
      <w:r>
        <w:t xml:space="preserve">Fawcett, T. An introduction to ROC analysis. </w:t>
      </w:r>
      <w:r>
        <w:rPr>
          <w:i/>
        </w:rPr>
        <w:t>Pattern Recognit. Lett.</w:t>
      </w:r>
      <w:r>
        <w:t xml:space="preserve"> </w:t>
      </w:r>
      <w:r>
        <w:rPr>
          <w:b/>
        </w:rPr>
        <w:t>27</w:t>
      </w:r>
      <w:r>
        <w:t>, 861–874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