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VideoFly 网站全量质量检查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8"/>
        </w:rPr>
        <w:t>阶段总结（累计更新至第 5 阶段）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审计目标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保障网站正常使用；检查前后端一致性、安全、Bug、鉴权与调用链路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当前进度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6 个阶段中已完成 5 个：探索、质量制品生成、代码审查、规格审计、对账与 TDD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有效确认 8 个问题：3 个高、4 个中、1 个低；另有 2 个已驳回历史发现；产品源码保持不变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下一阶段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第 6 阶段最终验证：检查制品一致性、版本、追踪关系与收敛状态</w:t>
            </w:r>
          </w:p>
        </w:tc>
      </w:tr>
    </w:tbl>
    <w:p>
      <w:pPr>
        <w:pStyle w:val="Heading1"/>
      </w:pPr>
      <w:r>
        <w:t>一、总体结论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阶段性判断：8 个有效问题均已复现；6 个拟议修复通过红绿验证，1 个修复仍不完整，1 个高风险网络问题尚无获批补丁。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证据强度：每个有效问题均有命名回归测试和 RED 日志；有修复补丁的项目均执行隔离 GREEN 验证，未用叙述代替运行证据。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基线结果：完整测试 200 项，其中 184 项正常通过、16 项为预期失败；类型检查、Lint、机械验证、19 个补丁检查和终端质量门禁全部通过。</w:t>
      </w:r>
    </w:p>
    <w:p>
      <w:pPr>
        <w:pStyle w:val="Heading1"/>
      </w:pPr>
      <w:r>
        <w:t>二、第 1 阶段：全量探索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覆盖范围：</w:t>
      </w:r>
      <w:r>
        <w:rPr>
          <w:rFonts w:ascii="Calibri" w:hAnsi="Calibri" w:eastAsia="Microsoft YaHei"/>
          <w:b w:val="0"/>
          <w:color w:val="000000"/>
          <w:sz w:val="22"/>
        </w:rPr>
        <w:t>鉴权与权限、视频生成、Provider 路由、AI 回调、QStash 对账、积分账本、Stripe、上传与存储、生成器前后端接口。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规模：</w:t>
      </w:r>
      <w:r>
        <w:rPr>
          <w:rFonts w:ascii="Calibri" w:hAnsi="Calibri" w:eastAsia="Microsoft YaHei"/>
          <w:b w:val="0"/>
          <w:color w:val="000000"/>
          <w:sz w:val="22"/>
        </w:rPr>
        <w:t>672 个 Git 跟踪文件，其中 465 个位于 src；采用 200–500 源文件项目的深度范围声明。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探索产出：</w:t>
      </w:r>
      <w:r>
        <w:rPr>
          <w:rFonts w:ascii="Calibri" w:hAnsi="Calibri" w:eastAsia="Microsoft YaHei"/>
          <w:b w:val="0"/>
          <w:color w:val="000000"/>
          <w:sz w:val="22"/>
        </w:rPr>
        <w:t>14 条带文件行号的事实发现、8 个后续候选项、4 个完整模式走查，入口门槛 13/13 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明确不纳入：</w:t>
      </w:r>
      <w:r>
        <w:rPr>
          <w:rFonts w:ascii="Calibri" w:hAnsi="Calibri" w:eastAsia="Microsoft YaHei"/>
          <w:b w:val="0"/>
          <w:color w:val="000000"/>
          <w:sz w:val="22"/>
        </w:rPr>
        <w:t>营销页面视觉、体验优化、非关键文案，以及遗留 Kubernetes/tRPC 模块的深度审计。</w:t>
      </w:r>
    </w:p>
    <w:p>
      <w:pPr>
        <w:pStyle w:val="Heading2"/>
      </w:pPr>
      <w:r>
        <w:t>第 1 阶段确认的正向防线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未登录敏感 API 返回 401，管理员 API 对未授权请求返回 403。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管理员权限从数据库实时读取，避免撤权后仍依赖旧 Cookie 缓存。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生成入口校验上传图片归属，用户身份由会话得到。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前端模型选项与服务器模型能力校验使用共享目录和积分计算逻辑。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AI 回调具备 HMAC、时间窗口、Provider 与外部任务 ID 绑定。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积分冻结、结算和释放具备锁与幂等状态判断。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远程媒体已有 HTTPS、私网地址、重定向和字节数限制。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三、当前确认问题与闭环状态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300"/>
        <w:gridCol w:w="1810"/>
      </w:tblGrid>
      <w:t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正常使用影响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追踪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Stripe /dashboard 死链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中间件已实现可用重定向；原结论是路由枚举误判。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001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长任务对账窗口耗尽后悬挂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 60 分钟终止策略已 GREEN，业务超时仍需确认。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 / BUG-002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Bailian 回调入口缺失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项目规格明确不支持回调且已实现轮询；原通用白名单补丁不应应用。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003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AI 回调请求体没有应用级上限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RED；1 MiB 有界读取补丁已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REQ-006 / BUG-004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回调密钥文档变量不一致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当前指南已 RED；统一为 CALLBACK_HMAC_SECRET 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REQ-012 / BUG-005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CSP 拦截 Vercel 观测脚本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当前策略已 RED；允许精确脚本源的补丁已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REQ-014 / BUG-006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DNS 校验未绑定实际媒体连接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RED；尚无安全补丁，需先解决连接固定、代理与重定向兼容。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REQ-010 / BUG-007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积分流水类型在 API/UI/翻译间不一致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RED；拟议补丁 GREEN 失败，仍漏 payment_reversal 翻译。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BUG-008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QStash 调度端与接收端密钥要求不同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RED；统一完整配置判断的补丁已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REQ-007、012 / BUG-009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作品筛选控件未传递筛选条件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RED；贯通状态、模型与排序的补丁已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覆盖缺口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缺少付费生成完整链路测试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真实 Provider、支付和存储联调仍需授权环境；当前本地证据不冒充线上验证。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CAND-008 / 保留</w:t>
            </w:r>
          </w:p>
        </w:tc>
      </w:tr>
    </w:tbl>
    <w:p>
      <w:pPr>
        <w:pStyle w:val="Heading1"/>
      </w:pPr>
      <w:r>
        <w:t>四、第 2 阶段：质量制品生成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行为契约：</w:t>
      </w:r>
      <w:r>
        <w:rPr>
          <w:rFonts w:ascii="Calibri" w:hAnsi="Calibri" w:eastAsia="Microsoft YaHei"/>
          <w:b w:val="0"/>
          <w:color w:val="000000"/>
          <w:sz w:val="22"/>
        </w:rPr>
        <w:t>提取并归纳 38 条核心行为契约，覆盖权限、生成输入、积分与视频状态、Provider、回调、媒体安全、Stripe 和部署配置。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需求与用例：</w:t>
      </w:r>
      <w:r>
        <w:rPr>
          <w:rFonts w:ascii="Calibri" w:hAnsi="Calibri" w:eastAsia="Microsoft YaHei"/>
          <w:b w:val="0"/>
          <w:color w:val="000000"/>
          <w:sz w:val="22"/>
        </w:rPr>
        <w:t>形成 12 条可测试需求和 7 个端到端用例；每条需求包含代码证据、适用用例和明确满足条件。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质量场景与自动检查：</w:t>
      </w:r>
      <w:r>
        <w:rPr>
          <w:rFonts w:ascii="Calibri" w:hAnsi="Calibri" w:eastAsia="Microsoft YaHei"/>
          <w:b w:val="0"/>
          <w:color w:val="000000"/>
          <w:sz w:val="22"/>
        </w:rPr>
        <w:t>形成 10 个真实故障场景；新增 27 项 Vitest 功能测试并全部通过；机械脚本可重建 Provider 列表并稳定检测 Bailian 回调缺口。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后续执行协议：</w:t>
      </w:r>
      <w:r>
        <w:rPr>
          <w:rFonts w:ascii="Calibri" w:hAnsi="Calibri" w:eastAsia="Microsoft YaHei"/>
          <w:b w:val="0"/>
          <w:color w:val="000000"/>
          <w:sz w:val="22"/>
        </w:rPr>
        <w:t>已生成代码审查、集成测试、规格审计和红绿 TDD 四份执行协议，保证后续阶段按同一证据标准进行。</w:t>
      </w:r>
    </w:p>
    <w:p>
      <w:pPr>
        <w:pStyle w:val="Heading2"/>
      </w:pPr>
      <w:r>
        <w:t>第 2 阶段验证结果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功能测试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27/27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无类型错误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376 个文件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机械枚举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提取结果可重复；差集为 bailian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制品门槛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 个核心制品均存在且非空</w:t>
            </w:r>
          </w:p>
        </w:tc>
      </w:tr>
    </w:tbl>
    <w:p>
      <w:pPr>
        <w:pStyle w:val="Heading1"/>
      </w:pPr>
      <w:r>
        <w:t>五、第 3 阶段：代码审查与回归设计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三轮审查：</w:t>
      </w:r>
      <w:r>
        <w:rPr>
          <w:rFonts w:ascii="Calibri" w:hAnsi="Calibri" w:eastAsia="Microsoft YaHei"/>
          <w:b w:val="0"/>
          <w:color w:val="000000"/>
          <w:sz w:val="22"/>
        </w:rPr>
        <w:t>结构审查、逐需求审查和可执行确认均已完成；12 条需求全部给出满足、违反或待证明结论。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确认结果：</w:t>
      </w:r>
      <w:r>
        <w:rPr>
          <w:rFonts w:ascii="Calibri" w:hAnsi="Calibri" w:eastAsia="Microsoft YaHei"/>
          <w:b w:val="0"/>
          <w:color w:val="000000"/>
          <w:sz w:val="22"/>
        </w:rPr>
        <w:t>确认 BUG-001 至 BUG-006：2 个高、3 个中、1 个低；DNS 重绑定保留为待审问题，完整付费链路保留为覆盖缺口。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模式网格：</w:t>
      </w:r>
      <w:r>
        <w:rPr>
          <w:rFonts w:ascii="Calibri" w:hAnsi="Calibri" w:eastAsia="Microsoft YaHei"/>
          <w:b w:val="0"/>
          <w:color w:val="000000"/>
          <w:sz w:val="22"/>
        </w:rPr>
        <w:t>REQ-005 的 5 个积分状态单元均有补偿；REQ-007 的 2 个耐久对账缺口归入 BUG-002；REQ-011 的 Bailian 缺口归入 BUG-003。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补丁与写案：</w:t>
      </w:r>
      <w:r>
        <w:rPr>
          <w:rFonts w:ascii="Calibri" w:hAnsi="Calibri" w:eastAsia="Microsoft YaHei"/>
          <w:b w:val="0"/>
          <w:color w:val="000000"/>
          <w:sz w:val="22"/>
        </w:rPr>
        <w:t>已生成 6 个预期失败回归补丁、6 个拟议修复补丁和 6 份独立问题写案；12 个补丁全部通过 git apply --check。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验证基线：</w:t>
      </w:r>
      <w:r>
        <w:rPr>
          <w:rFonts w:ascii="Calibri" w:hAnsi="Calibri" w:eastAsia="Microsoft YaHei"/>
          <w:b w:val="0"/>
          <w:color w:val="000000"/>
          <w:sz w:val="22"/>
        </w:rPr>
        <w:t>完整测试 182/182 通过，TypeScript 与 Lint 通过，产品源码保持不变。</w:t>
      </w:r>
    </w:p>
    <w:p>
      <w:pPr>
        <w:pStyle w:val="Heading1"/>
        <w:keepNext/>
      </w:pPr>
      <w:r>
        <w:t>六、第 4 阶段：规格审计与分诊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独立审计：</w:t>
      </w:r>
      <w:r>
        <w:rPr>
          <w:rFonts w:ascii="Calibri" w:hAnsi="Calibri" w:eastAsia="Microsoft YaHei"/>
          <w:b w:val="0"/>
          <w:sz w:val="22"/>
        </w:rPr>
        <w:t>从产品运营、安全财务、实现一致性三个视角复核全部 12 条基线需求，并补充 REQ-013 前后端数据契约。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重要纠偏：</w:t>
      </w:r>
      <w:r>
        <w:rPr>
          <w:rFonts w:ascii="Calibri" w:hAnsi="Calibri" w:eastAsia="Microsoft YaHei"/>
          <w:b w:val="0"/>
          <w:sz w:val="22"/>
        </w:rPr>
        <w:t>BUG-001 已撤回：/dashboard 由中间件实现为重定向；旧回归和修复补丁均标记为不得应用。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新增确认：</w:t>
      </w:r>
      <w:r>
        <w:rPr>
          <w:rFonts w:ascii="Calibri" w:hAnsi="Calibri" w:eastAsia="Microsoft YaHei"/>
          <w:b w:val="0"/>
          <w:sz w:val="22"/>
        </w:rPr>
        <w:t>新增 BUG-007 至 BUG-010：DNS 连接绑定、积分流水词汇、QStash 密钥一致性和作品筛选链路。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风险总量：</w:t>
      </w:r>
      <w:r>
        <w:rPr>
          <w:rFonts w:ascii="Calibri" w:hAnsi="Calibri" w:eastAsia="Microsoft YaHei"/>
          <w:b w:val="0"/>
          <w:sz w:val="22"/>
        </w:rPr>
        <w:t>当前有效 9 个问题：3 高、5 中、1 低；其中 BUG-007 暂不生成网络修复补丁，避免未经验证地破坏代理、重定向或流式下载。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验证结果：</w:t>
      </w:r>
      <w:r>
        <w:rPr>
          <w:rFonts w:ascii="Calibri" w:hAnsi="Calibri" w:eastAsia="Microsoft YaHei"/>
          <w:b w:val="0"/>
          <w:sz w:val="22"/>
        </w:rPr>
        <w:t>10 项分诊探针全部符合预期；完整测试 192 项、类型检查、Lint 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引用复核：</w:t>
      </w:r>
      <w:r>
        <w:rPr>
          <w:rFonts w:ascii="Calibri" w:hAnsi="Calibri" w:eastAsia="Microsoft YaHei"/>
          <w:b w:val="0"/>
          <w:sz w:val="22"/>
        </w:rPr>
        <w:t>本轮 13 条需求全部为代码推导，Tier 1/2 引用数量为 0，因此语义引用检查按协议为空结果，不伪造跨模型投票。</w:t>
      </w:r>
    </w:p>
    <w:p>
      <w:pPr>
        <w:pStyle w:val="Heading1"/>
        <w:keepNext/>
      </w:pPr>
      <w:r>
        <w:t>七、第 5 阶段：对账、挑战复核与 TDD 闭环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挑战复核：</w:t>
      </w:r>
      <w:r>
        <w:rPr>
          <w:rFonts w:ascii="Calibri" w:hAnsi="Calibri" w:eastAsia="Microsoft YaHei"/>
          <w:b w:val="0"/>
          <w:sz w:val="22"/>
        </w:rPr>
        <w:t>对所有触发项执行两轮反方审查；Bailian 回调发现因规格明确标注为轮询专用而被驳回，有效问题由 9 个调整为 8 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回归闭环：</w:t>
      </w:r>
      <w:r>
        <w:rPr>
          <w:rFonts w:ascii="Calibri" w:hAnsi="Calibri" w:eastAsia="Microsoft YaHei"/>
          <w:b w:val="0"/>
          <w:sz w:val="22"/>
        </w:rPr>
        <w:t>8 个有效问题全部获得命名回归测试并在未修改代码上产生 RED 证据；回归套件使用严格预期失败标记，不污染正常 CI。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绿灯验证：</w:t>
      </w:r>
      <w:r>
        <w:rPr>
          <w:rFonts w:ascii="Calibri" w:hAnsi="Calibri" w:eastAsia="Microsoft YaHei"/>
          <w:b w:val="0"/>
          <w:sz w:val="22"/>
        </w:rPr>
        <w:t>BUG-002、004、005、006、009、010 的拟议补丁通过 GREEN；BUG-008 的补丁仍漏支付撤销翻译，明确记录为 GREEN 失败。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安全保留：</w:t>
      </w:r>
      <w:r>
        <w:rPr>
          <w:rFonts w:ascii="Calibri" w:hAnsi="Calibri" w:eastAsia="Microsoft YaHei"/>
          <w:b w:val="0"/>
          <w:sz w:val="22"/>
        </w:rPr>
        <w:t>BUG-007 只确认缺陷、不批准仓促修复；连接固定方案必须同时兼容代理、逐跳重定向校验、流式限额和连接资源释放。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需求对账：</w:t>
      </w:r>
      <w:r>
        <w:rPr>
          <w:rFonts w:ascii="Calibri" w:hAnsi="Calibri" w:eastAsia="Microsoft YaHei"/>
          <w:b w:val="0"/>
          <w:sz w:val="22"/>
        </w:rPr>
        <w:t>新增 REQ-014 约束已启用观测脚本与 CSP 的一致性；8 个有效问题现均可追溯到明确需求。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门禁结果：</w:t>
      </w:r>
      <w:r>
        <w:rPr>
          <w:rFonts w:ascii="Calibri" w:hAnsi="Calibri" w:eastAsia="Microsoft YaHei"/>
          <w:b w:val="0"/>
          <w:sz w:val="22"/>
        </w:rPr>
        <w:t>质量门禁 0 项失败；完整测试 184 项通过、16 项预期失败，类型检查、Lint、机械验证和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所有红绿验证均在一次性隔离工作区完成并清理；主工作区仅新增 quality 审计制品，没有修改网站产品源码。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八、下一阶段计划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第 6 阶段目标：执行最终一致性、自检基准和交付门禁，确认所有审计制品可追踪且互不矛盾。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运行最终制品自检，核对需求、问题、测试、补丁、写案、日志和索引之间的数量与引用关系。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检查所有 Quality Playbook 版本标记、JSON 架构、阶段事件和最终收敛结论是否一致。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确认执行证据与叙述无矛盾，并对仍开放或修复不完整的项目保持 BLOCK 状态。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完成后给出可统一实施的修复批次建议；是否实际修改产品源码由用户另行决定。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九、审计文件位置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仓库证据：</w:t>
      </w:r>
      <w:r>
        <w:rPr>
          <w:rFonts w:ascii="Calibri" w:hAnsi="Calibri" w:eastAsia="Microsoft YaHei"/>
          <w:b w:val="0"/>
          <w:color w:val="000000"/>
          <w:sz w:val="22"/>
        </w:rPr>
        <w:t>F:\saas411\quality\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核心入口：</w:t>
      </w:r>
      <w:r>
        <w:rPr>
          <w:rFonts w:ascii="Calibri" w:hAnsi="Calibri" w:eastAsia="Microsoft YaHei"/>
          <w:b w:val="0"/>
          <w:color w:val="000000"/>
          <w:sz w:val="22"/>
        </w:rPr>
        <w:t>EXPLORATION.md、REQUIREMENTS.md、QUALITY.md、CONTRACTS.md、COVERAGE_MATRIX.md、PROGRESS.md。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本总结：</w:t>
      </w:r>
      <w:r>
        <w:rPr>
          <w:rFonts w:ascii="Calibri" w:hAnsi="Calibri" w:eastAsia="Microsoft YaHei"/>
          <w:b w:val="0"/>
          <w:color w:val="000000"/>
          <w:sz w:val="22"/>
        </w:rPr>
        <w:t>C:\Users\Administrator\Desktop\VideoFly网站全量质量检查阶段总结.docx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t>持续覆写阶段总结 · 更新于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VideoFly 质量审计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