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Benefits Overview</w:t>
      </w:r>
    </w:p>
    <w:p>
      <w:r>
        <w:rPr>
          <w:color w:val="64748B"/>
          <w:sz w:val="17"/>
        </w:rPr>
        <w:t>Version 7.1  |  Owner: People Operations  |  Effective 2026-01-01  |  Next review 2027-01-01</w:t>
      </w:r>
    </w:p>
    <w:p>
      <w:pPr>
        <w:pStyle w:val="Heading1"/>
      </w:pPr>
      <w:r>
        <w:t>1. Purpose and scope</w:t>
      </w:r>
    </w:p>
    <w:p>
      <w:r>
        <w:t>A summary of the insurance, retirement and wellbeing benefits Zuqah Technologies provides.</w:t>
      </w:r>
    </w:p>
    <w:p>
      <w:r>
        <w:t>This document covers benefits. It does not cover leave — annual leave, sick leave, bereavement and the other categories are set out in the Paid Time Off and Leave Policy, which is the single source for anything to do with time away from work.</w:t>
      </w:r>
    </w:p>
    <w:p>
      <w:r>
        <w:t>Benefits vary by country. This document describes the United States programme; employees elsewhere should refer to their country supplement in the HR portal.</w:t>
      </w:r>
    </w:p>
    <w:p>
      <w:pPr>
        <w:pStyle w:val="Heading1"/>
      </w:pPr>
      <w:r>
        <w:t>2. Eligibility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Employment type</w:t>
            </w:r>
          </w:p>
        </w:tc>
        <w:tc>
          <w:tcPr>
            <w:tcW w:type="dxa" w:w="2880"/>
          </w:tcPr>
          <w:p>
            <w:r>
              <w:t>Eligible</w:t>
            </w:r>
          </w:p>
        </w:tc>
        <w:tc>
          <w:tcPr>
            <w:tcW w:type="dxa" w:w="2880"/>
          </w:tcPr>
          <w:p>
            <w:r>
              <w:t>From</w:t>
            </w:r>
          </w:p>
        </w:tc>
      </w:tr>
      <w:tr>
        <w:tc>
          <w:tcPr>
            <w:tcW w:type="dxa" w:w="2880"/>
          </w:tcPr>
          <w:p>
            <w:r>
              <w:t>Permanent, full time</w:t>
            </w:r>
          </w:p>
        </w:tc>
        <w:tc>
          <w:tcPr>
            <w:tcW w:type="dxa" w:w="2880"/>
          </w:tcPr>
          <w:p>
            <w:r>
              <w:t>All benefits</w:t>
            </w:r>
          </w:p>
        </w:tc>
        <w:tc>
          <w:tcPr>
            <w:tcW w:type="dxa" w:w="2880"/>
          </w:tcPr>
          <w:p>
            <w:r>
              <w:t>First day of employment</w:t>
            </w:r>
          </w:p>
        </w:tc>
      </w:tr>
      <w:tr>
        <w:tc>
          <w:tcPr>
            <w:tcW w:type="dxa" w:w="2880"/>
          </w:tcPr>
          <w:p>
            <w:r>
              <w:t>Permanent, part time (20+ hours)</w:t>
            </w:r>
          </w:p>
        </w:tc>
        <w:tc>
          <w:tcPr>
            <w:tcW w:type="dxa" w:w="2880"/>
          </w:tcPr>
          <w:p>
            <w:r>
              <w:t>All benefits, pro-rated where applicable</w:t>
            </w:r>
          </w:p>
        </w:tc>
        <w:tc>
          <w:tcPr>
            <w:tcW w:type="dxa" w:w="2880"/>
          </w:tcPr>
          <w:p>
            <w:r>
              <w:t>First day of employment</w:t>
            </w:r>
          </w:p>
        </w:tc>
      </w:tr>
      <w:tr>
        <w:tc>
          <w:tcPr>
            <w:tcW w:type="dxa" w:w="2880"/>
          </w:tcPr>
          <w:p>
            <w:r>
              <w:t>Permanent, part time (under 20 hours)</w:t>
            </w:r>
          </w:p>
        </w:tc>
        <w:tc>
          <w:tcPr>
            <w:tcW w:type="dxa" w:w="2880"/>
          </w:tcPr>
          <w:p>
            <w:r>
              <w:t>Retirement and wellbeing only</w:t>
            </w:r>
          </w:p>
        </w:tc>
        <w:tc>
          <w:tcPr>
            <w:tcW w:type="dxa" w:w="2880"/>
          </w:tcPr>
          <w:p>
            <w:r>
              <w:t>First day of employment</w:t>
            </w:r>
          </w:p>
        </w:tc>
      </w:tr>
      <w:tr>
        <w:tc>
          <w:tcPr>
            <w:tcW w:type="dxa" w:w="2880"/>
          </w:tcPr>
          <w:p>
            <w:r>
              <w:t>Fixed-term, 6 months or more</w:t>
            </w:r>
          </w:p>
        </w:tc>
        <w:tc>
          <w:tcPr>
            <w:tcW w:type="dxa" w:w="2880"/>
          </w:tcPr>
          <w:p>
            <w:r>
              <w:t>All benefits</w:t>
            </w:r>
          </w:p>
        </w:tc>
        <w:tc>
          <w:tcPr>
            <w:tcW w:type="dxa" w:w="2880"/>
          </w:tcPr>
          <w:p>
            <w:r>
              <w:t>First day of employment</w:t>
            </w:r>
          </w:p>
        </w:tc>
      </w:tr>
      <w:tr>
        <w:tc>
          <w:tcPr>
            <w:tcW w:type="dxa" w:w="2880"/>
          </w:tcPr>
          <w:p>
            <w:r>
              <w:t>Contractor</w:t>
            </w:r>
          </w:p>
        </w:tc>
        <w:tc>
          <w:tcPr>
            <w:tcW w:type="dxa" w:w="2880"/>
          </w:tcPr>
          <w:p>
            <w:r>
              <w:t>Not eligible</w:t>
            </w:r>
          </w:p>
        </w:tc>
        <w:tc>
          <w:tcPr>
            <w:tcW w:type="dxa" w:w="2880"/>
          </w:tcPr>
          <w:p>
            <w:r>
              <w:t>—</w:t>
            </w:r>
          </w:p>
        </w:tc>
      </w:tr>
    </w:tbl>
    <w:p>
      <w:r>
        <w:t>There is no waiting period. Coverage begins on the first day, not after 30 or 90 days.</w:t>
      </w:r>
    </w:p>
    <w:p>
      <w:pPr>
        <w:pStyle w:val="Heading1"/>
      </w:pPr>
      <w:r>
        <w:t>3. Health cover</w:t>
      </w:r>
    </w:p>
    <w:p>
      <w:r>
        <w:t>Three plan options. All include medical, prescription, and access to virtual care.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Plan</w:t>
            </w:r>
          </w:p>
        </w:tc>
        <w:tc>
          <w:tcPr>
            <w:tcW w:type="dxa" w:w="2160"/>
          </w:tcPr>
          <w:p>
            <w:r>
              <w:t>Employee contribution</w:t>
            </w:r>
          </w:p>
        </w:tc>
        <w:tc>
          <w:tcPr>
            <w:tcW w:type="dxa" w:w="2160"/>
          </w:tcPr>
          <w:p>
            <w:r>
              <w:t>Annual deductible</w:t>
            </w:r>
          </w:p>
        </w:tc>
        <w:tc>
          <w:tcPr>
            <w:tcW w:type="dxa" w:w="2160"/>
          </w:tcPr>
          <w:p>
            <w:r>
              <w:t>Out-of-pocket maximum</w:t>
            </w:r>
          </w:p>
        </w:tc>
      </w:tr>
      <w:tr>
        <w:tc>
          <w:tcPr>
            <w:tcW w:type="dxa" w:w="2160"/>
          </w:tcPr>
          <w:p>
            <w:r>
              <w:t>Core</w:t>
            </w:r>
          </w:p>
        </w:tc>
        <w:tc>
          <w:tcPr>
            <w:tcW w:type="dxa" w:w="2160"/>
          </w:tcPr>
          <w:p>
            <w:r>
              <w:t>$0 per month</w:t>
            </w:r>
          </w:p>
        </w:tc>
        <w:tc>
          <w:tcPr>
            <w:tcW w:type="dxa" w:w="2160"/>
          </w:tcPr>
          <w:p>
            <w:r>
              <w:t>$2,000</w:t>
            </w:r>
          </w:p>
        </w:tc>
        <w:tc>
          <w:tcPr>
            <w:tcW w:type="dxa" w:w="2160"/>
          </w:tcPr>
          <w:p>
            <w:r>
              <w:t>$6,000</w:t>
            </w:r>
          </w:p>
        </w:tc>
      </w:tr>
      <w:tr>
        <w:tc>
          <w:tcPr>
            <w:tcW w:type="dxa" w:w="2160"/>
          </w:tcPr>
          <w:p>
            <w:r>
              <w:t>Plus</w:t>
            </w:r>
          </w:p>
        </w:tc>
        <w:tc>
          <w:tcPr>
            <w:tcW w:type="dxa" w:w="2160"/>
          </w:tcPr>
          <w:p>
            <w:r>
              <w:t>$95 per month</w:t>
            </w:r>
          </w:p>
        </w:tc>
        <w:tc>
          <w:tcPr>
            <w:tcW w:type="dxa" w:w="2160"/>
          </w:tcPr>
          <w:p>
            <w:r>
              <w:t>$750</w:t>
            </w:r>
          </w:p>
        </w:tc>
        <w:tc>
          <w:tcPr>
            <w:tcW w:type="dxa" w:w="2160"/>
          </w:tcPr>
          <w:p>
            <w:r>
              <w:t>$3,500</w:t>
            </w:r>
          </w:p>
        </w:tc>
      </w:tr>
      <w:tr>
        <w:tc>
          <w:tcPr>
            <w:tcW w:type="dxa" w:w="2160"/>
          </w:tcPr>
          <w:p>
            <w:r>
              <w:t>Premier</w:t>
            </w:r>
          </w:p>
        </w:tc>
        <w:tc>
          <w:tcPr>
            <w:tcW w:type="dxa" w:w="2160"/>
          </w:tcPr>
          <w:p>
            <w:r>
              <w:t>$220 per month</w:t>
            </w:r>
          </w:p>
        </w:tc>
        <w:tc>
          <w:tcPr>
            <w:tcW w:type="dxa" w:w="2160"/>
          </w:tcPr>
          <w:p>
            <w:r>
              <w:t>$250</w:t>
            </w:r>
          </w:p>
        </w:tc>
        <w:tc>
          <w:tcPr>
            <w:tcW w:type="dxa" w:w="2160"/>
          </w:tcPr>
          <w:p>
            <w:r>
              <w:t>$2,000</w:t>
            </w:r>
          </w:p>
        </w:tc>
      </w:tr>
    </w:tbl>
    <w:p>
      <w:r>
        <w:t>Contributions shown are for employee-only cover. Adding a spouse or dependants increases the contribution; the full table is in the HR portal.</w:t>
      </w:r>
    </w:p>
    <w:p>
      <w:r>
        <w:t>Zuqah Technologies pays the entire premium for the Core plan. Employees choosing Plus or Premier pay the difference.</w:t>
      </w:r>
    </w:p>
    <w:p>
      <w:pPr>
        <w:pStyle w:val="Heading2"/>
      </w:pPr>
      <w:r>
        <w:t>3.1 Dental and vision</w:t>
      </w:r>
    </w:p>
    <w:p>
      <w:r>
        <w:t>Included with all three plans at no additional cost. There is no separate enrolment and no separate deductible.</w:t>
      </w:r>
    </w:p>
    <w:p>
      <w:pPr>
        <w:pStyle w:val="Heading1"/>
      </w:pPr>
      <w:r>
        <w:t>4. Life and disability</w:t>
      </w:r>
    </w:p>
    <w:p>
      <w:pPr>
        <w:pStyle w:val="ListBullet"/>
      </w:pPr>
      <w:r>
        <w:t>Life insurance — 2× base salary, provided automatically at no cost</w:t>
      </w:r>
    </w:p>
    <w:p>
      <w:pPr>
        <w:pStyle w:val="ListBullet"/>
      </w:pPr>
      <w:r>
        <w:t>Additional life — up to a further 4× salary, employee-paid, subject to</w:t>
      </w:r>
    </w:p>
    <w:p>
      <w:r>
        <w:t>medical underwriting above 2×</w:t>
      </w:r>
    </w:p>
    <w:p>
      <w:pPr>
        <w:pStyle w:val="ListBullet"/>
      </w:pPr>
      <w:r>
        <w:t>Short-term disability — 100% of salary for the first 12 weeks</w:t>
      </w:r>
    </w:p>
    <w:p>
      <w:pPr>
        <w:pStyle w:val="ListBullet"/>
      </w:pPr>
      <w:r>
        <w:t>Long-term disability — 60% of salary thereafter, to a maximum of $12,000</w:t>
      </w:r>
    </w:p>
    <w:p>
      <w:r>
        <w:t>per month</w:t>
      </w:r>
    </w:p>
    <w:p>
      <w:r>
        <w:t>Life and short-term disability require no enrolment; they apply automatically.</w:t>
      </w:r>
    </w:p>
    <w:p>
      <w:pPr>
        <w:pStyle w:val="Heading1"/>
      </w:pPr>
      <w:r>
        <w:t>5. Retirement</w:t>
      </w:r>
    </w:p>
    <w:p>
      <w:r>
        <w:t>Zuqah Technologies operates a 401(k) with automatic enrolment at 4% of salary from the first pay period. Employees may change the rate or opt out at any time.</w:t>
      </w:r>
    </w:p>
    <w:p>
      <w:r>
        <w:t>Zuqah Technologies matches 100% of the first 5% of salary contributed. An employee contributing 5% therefore receives 10% in total.</w:t>
      </w:r>
    </w:p>
    <w:p>
      <w:r>
        <w:t>Employer contributions vest immediately. There is no vesting schedule and no service requirement.</w:t>
      </w:r>
    </w:p>
    <w:p>
      <w:pPr>
        <w:pStyle w:val="Heading1"/>
      </w:pPr>
      <w:r>
        <w:t>6. Wellbeing</w:t>
      </w:r>
    </w:p>
    <w:tbl>
      <w:tblPr>
        <w:tblStyle w:val="LightGrid-Accent1"/>
        <w:tblW w:type="auto" w:w="0"/>
        <w:tblLook w:firstColumn="1" w:firstRow="1" w:lastColumn="0" w:lastRow="0" w:noHBand="0" w:noVBand="1" w:val="04A0"/>
      </w:tblPr>
      <w:tblGrid>
        <w:gridCol w:w="4320"/>
        <w:gridCol w:w="4320"/>
      </w:tblGrid>
      <w:tr>
        <w:tc>
          <w:tcPr>
            <w:tcW w:type="dxa" w:w="4320"/>
          </w:tcPr>
          <w:p>
            <w:r>
              <w:t>Benefit</w:t>
            </w:r>
          </w:p>
        </w:tc>
        <w:tc>
          <w:tcPr>
            <w:tcW w:type="dxa" w:w="4320"/>
          </w:tcPr>
          <w:p>
            <w:r>
              <w:t>Amount</w:t>
            </w:r>
          </w:p>
        </w:tc>
      </w:tr>
      <w:tr>
        <w:tc>
          <w:tcPr>
            <w:tcW w:type="dxa" w:w="4320"/>
          </w:tcPr>
          <w:p>
            <w:r>
              <w:t>Employee assistance programme</w:t>
            </w:r>
          </w:p>
        </w:tc>
        <w:tc>
          <w:tcPr>
            <w:tcW w:type="dxa" w:w="4320"/>
          </w:tcPr>
          <w:p>
            <w:r>
              <w:t>Included, 24/7, confidential</w:t>
            </w:r>
          </w:p>
        </w:tc>
      </w:tr>
      <w:tr>
        <w:tc>
          <w:tcPr>
            <w:tcW w:type="dxa" w:w="4320"/>
          </w:tcPr>
          <w:p>
            <w:r>
              <w:t>Mental health sessions</w:t>
            </w:r>
          </w:p>
        </w:tc>
        <w:tc>
          <w:tcPr>
            <w:tcW w:type="dxa" w:w="4320"/>
          </w:tcPr>
          <w:p>
            <w:r>
              <w:t>12 per year, no cost, no referral needed</w:t>
            </w:r>
          </w:p>
        </w:tc>
      </w:tr>
      <w:tr>
        <w:tc>
          <w:tcPr>
            <w:tcW w:type="dxa" w:w="4320"/>
          </w:tcPr>
          <w:p>
            <w:r>
              <w:t>Fitness contribution</w:t>
            </w:r>
          </w:p>
        </w:tc>
        <w:tc>
          <w:tcPr>
            <w:tcW w:type="dxa" w:w="4320"/>
          </w:tcPr>
          <w:p>
            <w:r>
              <w:t>$60 per month</w:t>
            </w:r>
          </w:p>
        </w:tc>
      </w:tr>
      <w:tr>
        <w:tc>
          <w:tcPr>
            <w:tcW w:type="dxa" w:w="4320"/>
          </w:tcPr>
          <w:p>
            <w:r>
              <w:t>Annual health screening</w:t>
            </w:r>
          </w:p>
        </w:tc>
        <w:tc>
          <w:tcPr>
            <w:tcW w:type="dxa" w:w="4320"/>
          </w:tcPr>
          <w:p>
            <w:r>
              <w:t>Included</w:t>
            </w:r>
          </w:p>
        </w:tc>
      </w:tr>
      <w:tr>
        <w:tc>
          <w:tcPr>
            <w:tcW w:type="dxa" w:w="4320"/>
          </w:tcPr>
          <w:p>
            <w:r>
              <w:t>Wellbeing day</w:t>
            </w:r>
          </w:p>
        </w:tc>
        <w:tc>
          <w:tcPr>
            <w:tcW w:type="dxa" w:w="4320"/>
          </w:tcPr>
          <w:p>
            <w:r>
              <w:t>1 per year, in addition to annual leave</w:t>
            </w:r>
          </w:p>
        </w:tc>
      </w:tr>
    </w:tbl>
    <w:p>
      <w:r>
        <w:t>The mental health sessions do not require going through a manager, People Operations or a doctor. Zuqah Technologies is not told who uses them.</w:t>
      </w:r>
    </w:p>
    <w:p>
      <w:pPr>
        <w:pStyle w:val="Heading1"/>
      </w:pPr>
      <w:r>
        <w:t>7. Learning</w:t>
      </w:r>
    </w:p>
    <w:p>
      <w:pPr>
        <w:pStyle w:val="ListBullet"/>
      </w:pPr>
      <w:r>
        <w:t>$3,000 per year for training, conferences and certifications</w:t>
      </w:r>
    </w:p>
    <w:p>
      <w:pPr>
        <w:pStyle w:val="ListBullet"/>
      </w:pPr>
      <w:r>
        <w:t>Certification examination fees paid in full, including one re-sit</w:t>
      </w:r>
    </w:p>
    <w:p>
      <w:pPr>
        <w:pStyle w:val="ListBullet"/>
      </w:pPr>
      <w:r>
        <w:t>5 days of study leave per year — see the Paid Time Off and Leave Policy</w:t>
      </w:r>
    </w:p>
    <w:p>
      <w:r>
        <w:t>Approval is by the practice lead and is normally granted where the subject is relevant to current or intended work.</w:t>
      </w:r>
    </w:p>
    <w:p>
      <w:pPr>
        <w:pStyle w:val="Heading1"/>
      </w:pPr>
      <w:r>
        <w:t>8. Other</w:t>
      </w:r>
    </w:p>
    <w:p>
      <w:pPr>
        <w:pStyle w:val="ListBullet"/>
      </w:pPr>
      <w:r>
        <w:t>Referral bonus of $4,000 for a successful hire, paid after six months</w:t>
      </w:r>
    </w:p>
    <w:p>
      <w:pPr>
        <w:pStyle w:val="ListBullet"/>
      </w:pPr>
      <w:r>
        <w:t>Commuter benefit, pre-tax, up to the statutory limit</w:t>
      </w:r>
    </w:p>
    <w:p>
      <w:pPr>
        <w:pStyle w:val="ListBullet"/>
      </w:pPr>
      <w:r>
        <w:t>Home office allowance for fully remote employees — see the Remote and Hybrid</w:t>
      </w:r>
    </w:p>
    <w:p>
      <w:r>
        <w:t>Working Policy</w:t>
      </w:r>
    </w:p>
    <w:p>
      <w:pPr>
        <w:pStyle w:val="Heading1"/>
      </w:pPr>
      <w:r>
        <w:t>9. Enrolment and changes</w:t>
      </w:r>
    </w:p>
    <w:p>
      <w:r>
        <w:t>New starters enrol within 30 days of joining. Missing that window means defaulting to the Core plan until the next open enrolment.</w:t>
      </w:r>
    </w:p>
    <w:p>
      <w:r>
        <w:t>Open enrolment runs each November for the following calendar year. Outside open enrolment, changes are permitted only after a qualifying life event, and must be made within 60 days of it.</w:t>
      </w:r>
    </w:p>
    <w:p>
      <w:pPr>
        <w:pStyle w:val="Heading1"/>
      </w:pPr>
      <w:r>
        <w:t>10. Questions</w:t>
      </w:r>
    </w:p>
    <w:p>
      <w:r>
        <w:t>Anything not covered here — plan specifics, claims, a country supplement, or a situation this document does not describe — should go to People Operations through the HR portal. This overview is a summary and does not replace the plan documents, which govern in the event of any difference.</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