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Code of Conduct</w:t>
      </w:r>
    </w:p>
    <w:p>
      <w:r>
        <w:rPr>
          <w:color w:val="64748B"/>
          <w:sz w:val="17"/>
        </w:rPr>
        <w:t>Version 8.0  |  Owner: People Operations  |  Effective 2026-01-01  |  Next review 2027-01-01</w:t>
      </w:r>
    </w:p>
    <w:p>
      <w:pPr>
        <w:pStyle w:val="Heading1"/>
      </w:pPr>
      <w:r>
        <w:t>1. Purpose</w:t>
      </w:r>
    </w:p>
    <w:p>
      <w:r>
        <w:t>How Zuqah Technologies people are expected to behave, towards each other and towards clients. It applies to every employee and contractor, everywhere, including at client sites, at Zuqah Technologies events, and in any setting where a person is identifiable as representing Zuqah Technologies.</w:t>
      </w:r>
    </w:p>
    <w:p>
      <w:r>
        <w:t>Where this Code and a client's own code differ, the stricter applies.</w:t>
      </w:r>
    </w:p>
    <w:p>
      <w:pPr>
        <w:pStyle w:val="Heading1"/>
      </w:pPr>
      <w:r>
        <w:t>2. The standard</w:t>
      </w:r>
    </w:p>
    <w:p>
      <w:r>
        <w:t>Three sentences cover most of it:</w:t>
      </w:r>
    </w:p>
    <w:p>
      <w:pPr>
        <w:pStyle w:val="ListBullet"/>
      </w:pPr>
      <w:r>
        <w:t>Treat people as you would want a colleague to treat someone you care about.</w:t>
      </w:r>
    </w:p>
    <w:p>
      <w:pPr>
        <w:pStyle w:val="ListBullet"/>
      </w:pPr>
      <w:r>
        <w:t>Do not create an advantage for yourself that you would not want disclosed.</w:t>
      </w:r>
    </w:p>
    <w:p>
      <w:pPr>
        <w:pStyle w:val="ListBullet"/>
      </w:pPr>
      <w:r>
        <w:t>If something feels wrong, say so early, to someone.</w:t>
      </w:r>
    </w:p>
    <w:p>
      <w:r>
        <w:t>The sections below add specifics where experience shows specifics are needed.</w:t>
      </w:r>
    </w:p>
    <w:p>
      <w:pPr>
        <w:pStyle w:val="Heading1"/>
      </w:pPr>
      <w:r>
        <w:t>3. Respect</w:t>
      </w:r>
    </w:p>
    <w:p>
      <w:r>
        <w:t>Zuqah Technologies does not tolerate harassment, bullying or discrimination on any basis including race, ethnicity, national origin, religion, age, sex, gender identity or expression, sexual orientation, disability, marital status, or caring responsibilities.</w:t>
      </w:r>
    </w:p>
    <w:p>
      <w:r>
        <w:t>This includes conduct that is not directed at a person but creates an environment they cannot reasonably work in. Intent is relevant to how a situation is handled; it is not a defence to the effect.</w:t>
      </w:r>
    </w:p>
    <w:p>
      <w:pPr>
        <w:pStyle w:val="Heading1"/>
      </w:pPr>
      <w:r>
        <w:t>4. Conflicts of interest</w:t>
      </w:r>
    </w:p>
    <w:p>
      <w:r>
        <w:t>Declare, in the HR portal, anything that could reasonably be seen as competing with your obligations to Zuqah Technologies or a client:</w:t>
      </w:r>
    </w:p>
    <w:p>
      <w:pPr>
        <w:pStyle w:val="ListBullet"/>
      </w:pPr>
      <w:r>
        <w:t>Outside employment, consulting or directorships</w:t>
      </w:r>
    </w:p>
    <w:p>
      <w:pPr>
        <w:pStyle w:val="ListBullet"/>
      </w:pPr>
      <w:r>
        <w:t>A financial interest in a client, supplier or competitor</w:t>
      </w:r>
    </w:p>
    <w:p>
      <w:pPr>
        <w:pStyle w:val="ListBullet"/>
      </w:pPr>
      <w:r>
        <w:t>A close personal relationship with someone you have influence over, or who has</w:t>
      </w:r>
    </w:p>
    <w:p>
      <w:r>
        <w:t>influence over you</w:t>
      </w:r>
    </w:p>
    <w:p>
      <w:pPr>
        <w:pStyle w:val="ListBullet"/>
      </w:pPr>
      <w:r>
        <w:t>A close personal relationship with a client contact involved in a commercial</w:t>
      </w:r>
    </w:p>
    <w:p>
      <w:r>
        <w:t>decision</w:t>
      </w:r>
    </w:p>
    <w:p>
      <w:r>
        <w:t>Declaring is not an admission and rarely results in a restriction. Not declaring is the problem.</w:t>
      </w:r>
    </w:p>
    <w:p>
      <w:pPr>
        <w:pStyle w:val="Heading1"/>
      </w:pPr>
      <w:r>
        <w:t>5. Gifts and hospitality</w:t>
      </w:r>
    </w:p>
    <w:tbl>
      <w:tblPr>
        <w:tblStyle w:val="LightGrid-Accent1"/>
        <w:tblW w:type="auto" w:w="0"/>
        <w:tblLook w:firstColumn="1" w:firstRow="1" w:lastColumn="0" w:lastRow="0" w:noHBand="0" w:noVBand="1" w:val="04A0"/>
      </w:tblPr>
      <w:tblGrid>
        <w:gridCol w:w="4320"/>
        <w:gridCol w:w="4320"/>
      </w:tblGrid>
      <w:tr>
        <w:tc>
          <w:tcPr>
            <w:tcW w:type="dxa" w:w="4320"/>
          </w:tcPr>
          <w:p>
            <w:r>
              <w:t>Value</w:t>
            </w:r>
          </w:p>
        </w:tc>
        <w:tc>
          <w:tcPr>
            <w:tcW w:type="dxa" w:w="4320"/>
          </w:tcPr>
          <w:p>
            <w:r>
              <w:t>What to do</w:t>
            </w:r>
          </w:p>
        </w:tc>
      </w:tr>
      <w:tr>
        <w:tc>
          <w:tcPr>
            <w:tcW w:type="dxa" w:w="4320"/>
          </w:tcPr>
          <w:p>
            <w:r>
              <w:t>Under $50</w:t>
            </w:r>
          </w:p>
        </w:tc>
        <w:tc>
          <w:tcPr>
            <w:tcW w:type="dxa" w:w="4320"/>
          </w:tcPr>
          <w:p>
            <w:r>
              <w:t>Accept; no declaration needed</w:t>
            </w:r>
          </w:p>
        </w:tc>
      </w:tr>
      <w:tr>
        <w:tc>
          <w:tcPr>
            <w:tcW w:type="dxa" w:w="4320"/>
          </w:tcPr>
          <w:p>
            <w:r>
              <w:t>$50 to $250</w:t>
            </w:r>
          </w:p>
        </w:tc>
        <w:tc>
          <w:tcPr>
            <w:tcW w:type="dxa" w:w="4320"/>
          </w:tcPr>
          <w:p>
            <w:r>
              <w:t>Accept and declare in the HR portal</w:t>
            </w:r>
          </w:p>
        </w:tc>
      </w:tr>
      <w:tr>
        <w:tc>
          <w:tcPr>
            <w:tcW w:type="dxa" w:w="4320"/>
          </w:tcPr>
          <w:p>
            <w:r>
              <w:t>Over $250</w:t>
            </w:r>
          </w:p>
        </w:tc>
        <w:tc>
          <w:tcPr>
            <w:tcW w:type="dxa" w:w="4320"/>
          </w:tcPr>
          <w:p>
            <w:r>
              <w:t>Decline, unless approved in advance by a practice lead</w:t>
            </w:r>
          </w:p>
        </w:tc>
      </w:tr>
      <w:tr>
        <w:tc>
          <w:tcPr>
            <w:tcW w:type="dxa" w:w="4320"/>
          </w:tcPr>
          <w:p>
            <w:r>
              <w:t>Cash or equivalent</w:t>
            </w:r>
          </w:p>
        </w:tc>
        <w:tc>
          <w:tcPr>
            <w:tcW w:type="dxa" w:w="4320"/>
          </w:tcPr>
          <w:p>
            <w:r>
              <w:t>Decline, always, at any value</w:t>
            </w:r>
          </w:p>
        </w:tc>
      </w:tr>
    </w:tbl>
    <w:p>
      <w:r>
        <w:t>Never accept anything while a commercial decision involving that party is being made, regardless of value. Regardless of intent, it looks like what it looks like.</w:t>
      </w:r>
    </w:p>
    <w:p>
      <w:r>
        <w:t>For hospitality Zuqah Technologies offers rather than receives, see the Expense and Travel Reimbursement Policy, section 5.</w:t>
      </w:r>
    </w:p>
    <w:p>
      <w:pPr>
        <w:pStyle w:val="Heading1"/>
      </w:pPr>
      <w:r>
        <w:t>6. Confidentiality</w:t>
      </w:r>
    </w:p>
    <w:p>
      <w:r>
        <w:t>Client information, Zuqah Technologies commercial information and colleagues' personal information are confidential. This continues after leaving Zuqah Technologies.</w:t>
      </w:r>
    </w:p>
    <w:p>
      <w:r>
        <w:t>Specifically:</w:t>
      </w:r>
    </w:p>
    <w:p>
      <w:pPr>
        <w:pStyle w:val="ListBullet"/>
      </w:pPr>
      <w:r>
        <w:t>Do not discuss client work in public — trains, cafés, and open offices included</w:t>
      </w:r>
    </w:p>
    <w:p>
      <w:pPr>
        <w:pStyle w:val="ListBullet"/>
      </w:pPr>
      <w:r>
        <w:t>Do not name a client as a reference or in a public profile without approval</w:t>
      </w:r>
    </w:p>
    <w:p>
      <w:pPr>
        <w:pStyle w:val="ListBullet"/>
      </w:pPr>
      <w:r>
        <w:t>Do not take client or Zuqah Technologies material with you when you leave</w:t>
      </w:r>
    </w:p>
    <w:p>
      <w:pPr>
        <w:pStyle w:val="ListBullet"/>
      </w:pPr>
      <w:r>
        <w:t>Do not put client data into a tool that has not been approved for it,</w:t>
      </w:r>
    </w:p>
    <w:p>
      <w:r>
        <w:t>including consumer AI services</w:t>
      </w:r>
    </w:p>
    <w:p>
      <w:r>
        <w:t>The last is the newest and the most frequently misjudged. If a tool is not in the Software Portal or named in the Collaboration Tools Standard, client data must not go into it.</w:t>
      </w:r>
    </w:p>
    <w:p>
      <w:pPr>
        <w:pStyle w:val="Heading1"/>
      </w:pPr>
      <w:r>
        <w:t>7. Use of Zuqah Technologies systems</w:t>
      </w:r>
    </w:p>
    <w:p>
      <w:r>
        <w:t>Reasonable personal use of Zuqah Technologies devices and accounts is permitted.</w:t>
      </w:r>
    </w:p>
    <w:p>
      <w:r>
        <w:t>Zuqah Technologies monitors its systems for security and legal reasons. Content is not read routinely and is not read for performance management. It may be examined during a security investigation, in response to a legal obligation, or where there is specific cause.</w:t>
      </w:r>
    </w:p>
    <w:p>
      <w:r>
        <w:t>Nothing on a Zuqah Technologies system should be assumed private. Employees who want genuine privacy should use a personal device and account.</w:t>
      </w:r>
    </w:p>
    <w:p>
      <w:pPr>
        <w:pStyle w:val="Heading1"/>
      </w:pPr>
      <w:r>
        <w:t>8. Speaking about Zuqah Technologies</w:t>
      </w:r>
    </w:p>
    <w:p>
      <w:r>
        <w:t>Employees may talk publicly about working at Zuqah Technologies. When identifiable as a Zuqah Technologies employee, make clear that views are your own. Do not disclose client names, commercial terms or unreleased work.</w:t>
      </w:r>
    </w:p>
    <w:p>
      <w:r>
        <w:t>Media enquiries go to Communications, always, including ones that seem informal.</w:t>
      </w:r>
    </w:p>
    <w:p>
      <w:pPr>
        <w:pStyle w:val="Heading1"/>
      </w:pPr>
      <w:r>
        <w:t>9. Raising a concern</w:t>
      </w:r>
    </w:p>
    <w:p>
      <w:r>
        <w:t>In order of preference, but any of these is acceptable:</w:t>
      </w:r>
    </w:p>
    <w:p>
      <w:pPr>
        <w:pStyle w:val="ListBullet"/>
      </w:pPr>
      <w:r>
        <w:t>1. Your manager</w:t>
      </w:r>
    </w:p>
    <w:p>
      <w:pPr>
        <w:pStyle w:val="ListBullet"/>
      </w:pPr>
      <w:r>
        <w:t>2. Your practice lead</w:t>
      </w:r>
    </w:p>
    <w:p>
      <w:pPr>
        <w:pStyle w:val="ListBullet"/>
      </w:pPr>
      <w:r>
        <w:t>3. People Operations</w:t>
      </w:r>
    </w:p>
    <w:p>
      <w:pPr>
        <w:pStyle w:val="ListBullet"/>
      </w:pPr>
      <w:r>
        <w:t>4. The confidential reporting line, which accepts anonymous reports</w:t>
      </w:r>
    </w:p>
    <w:p>
      <w:r>
        <w:t>Concerns are investigated. The person raising one is told the outcome in substance, though not always in detail where doing so would breach someone else's confidentiality.</w:t>
      </w:r>
    </w:p>
    <w:p>
      <w:r>
        <w:t>Retaliation against anyone raising a concern in good faith is itself a serious breach of this Code, and is treated as such regardless of whether the original concern was upheld.</w:t>
      </w:r>
    </w:p>
    <w:p>
      <w:pPr>
        <w:pStyle w:val="Heading1"/>
      </w:pPr>
      <w:r>
        <w:t>10. Breaches</w:t>
      </w:r>
    </w:p>
    <w:p>
      <w:r>
        <w:t>Breaches are handled proportionately, from a conversation through to dismissal. Factors considered include seriousness, whether it was deliberate, whether it was disclosed voluntarily, and whether it is repeated.</w:t>
      </w:r>
    </w:p>
    <w:p>
      <w:r>
        <w:t>Voluntary disclosure of one's own mistake is treated materially more favourably than the same matter discovered another way. Zuqah Technologies would rather people self-correct than conceal.</w:t>
      </w:r>
    </w:p>
    <w:p>
      <w:pPr>
        <w:pStyle w:val="Heading1"/>
      </w:pPr>
      <w:r>
        <w:t>11. Confirmation</w:t>
      </w:r>
    </w:p>
    <w:p>
      <w:r>
        <w:t>All employees confirm annually that they have read this Code. Confirmation is recorded in the HR portal.</w:t>
      </w:r>
    </w:p>
    <w:p>
      <w:r>
        <w:t>this document describes no real organisation's policy.*</w:t>
      </w:r>
    </w:p>
    <w:p>
      <w:r>
        <w:rPr>
          <w:i/>
          <w:color w:val="94A3B8"/>
          <w:sz w:val="16"/>
        </w:rPr>
        <w:t>Sample content for demonstration purposes. Zuqah Technologies is a fictional company and this document describes no real organisation's policy.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