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Collaboration Tools Standard</w:t>
      </w:r>
    </w:p>
    <w:p>
      <w:r>
        <w:rPr>
          <w:color w:val="64748B"/>
          <w:sz w:val="17"/>
        </w:rPr>
        <w:t>Version 4.0  |  Owner: Digital Workplace  |  Effective 2026-03-15  |  Next review 2027-03-15</w:t>
      </w:r>
    </w:p>
    <w:p>
      <w:pPr>
        <w:pStyle w:val="Heading1"/>
      </w:pPr>
      <w:r>
        <w:t>1. Purpose</w:t>
      </w:r>
    </w:p>
    <w:p>
      <w:r>
        <w:t>Which tools Zuqah Technologies uses for communication and file sharing, how to share with people outside Zuqah Technologies, and how long things are kept.</w:t>
      </w:r>
    </w:p>
    <w:p>
      <w:pPr>
        <w:pStyle w:val="Heading1"/>
      </w:pPr>
      <w:r>
        <w:t>2. The approved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Zuqah Technologies Mail</w:t>
            </w:r>
          </w:p>
        </w:tc>
        <w:tc>
          <w:tcPr>
            <w:tcW w:type="dxa" w:w="2880"/>
          </w:tcPr>
          <w:p>
            <w:r>
              <w:t>External, formal, and anything needing a record</w:t>
            </w:r>
          </w:p>
        </w:tc>
      </w:tr>
      <w:tr>
        <w:tc>
          <w:tcPr>
            <w:tcW w:type="dxa" w:w="2880"/>
          </w:tcPr>
          <w:p>
            <w:r>
              <w:t>Chat and meetings</w:t>
            </w:r>
          </w:p>
        </w:tc>
        <w:tc>
          <w:tcPr>
            <w:tcW w:type="dxa" w:w="2880"/>
          </w:tcPr>
          <w:p>
            <w:r>
              <w:t>Zuqah Technologies Teams</w:t>
            </w:r>
          </w:p>
        </w:tc>
        <w:tc>
          <w:tcPr>
            <w:tcW w:type="dxa" w:w="2880"/>
          </w:tcPr>
          <w:p>
            <w:r>
              <w:t>Internal day-to-day, and calls</w:t>
            </w:r>
          </w:p>
        </w:tc>
      </w:tr>
      <w:tr>
        <w:tc>
          <w:tcPr>
            <w:tcW w:type="dxa" w:w="2880"/>
          </w:tcPr>
          <w:p>
            <w:r>
              <w:t>Document storage</w:t>
            </w:r>
          </w:p>
        </w:tc>
        <w:tc>
          <w:tcPr>
            <w:tcW w:type="dxa" w:w="2880"/>
          </w:tcPr>
          <w:p>
            <w:r>
              <w:t>Zuqah Technologies Files</w:t>
            </w:r>
          </w:p>
        </w:tc>
        <w:tc>
          <w:tcPr>
            <w:tcW w:type="dxa" w:w="2880"/>
          </w:tcPr>
          <w:p>
            <w:r>
              <w:t>All working documents</w:t>
            </w:r>
          </w:p>
        </w:tc>
      </w:tr>
      <w:tr>
        <w:tc>
          <w:tcPr>
            <w:tcW w:type="dxa" w:w="2880"/>
          </w:tcPr>
          <w:p>
            <w:r>
              <w:t>Client-shared workspaces</w:t>
            </w:r>
          </w:p>
        </w:tc>
        <w:tc>
          <w:tcPr>
            <w:tcW w:type="dxa" w:w="2880"/>
          </w:tcPr>
          <w:p>
            <w:r>
              <w:t>Zuqah Technologies Files, external channel</w:t>
            </w:r>
          </w:p>
        </w:tc>
        <w:tc>
          <w:tcPr>
            <w:tcW w:type="dxa" w:w="2880"/>
          </w:tcPr>
          <w:p>
            <w:r>
              <w:t>See section 4</w:t>
            </w:r>
          </w:p>
        </w:tc>
      </w:tr>
      <w:tr>
        <w:tc>
          <w:tcPr>
            <w:tcW w:type="dxa" w:w="2880"/>
          </w:tcPr>
          <w:p>
            <w:r>
              <w:t>Internal knowledge</w:t>
            </w:r>
          </w:p>
        </w:tc>
        <w:tc>
          <w:tcPr>
            <w:tcW w:type="dxa" w:w="2880"/>
          </w:tcPr>
          <w:p>
            <w:r>
              <w:t>Zuqah Technologies Wiki</w:t>
            </w:r>
          </w:p>
        </w:tc>
        <w:tc>
          <w:tcPr>
            <w:tcW w:type="dxa" w:w="2880"/>
          </w:tcPr>
          <w:p>
            <w:r>
              <w:t>Documentation, runbooks, standards</w:t>
            </w:r>
          </w:p>
        </w:tc>
      </w:tr>
    </w:tbl>
    <w:p>
      <w:r>
        <w:t>Consumer messaging and file-sharing services must not be used for Zuqah Technologies or client information. This includes personal email, consumer cloud storage and personal messaging applications — the restriction is about where the data ends up, not about which company provides the tool.</w:t>
      </w:r>
    </w:p>
    <w:p>
      <w:pPr>
        <w:pStyle w:val="Heading1"/>
      </w:pPr>
      <w:r>
        <w:t>3. Choosing between chat and email</w:t>
      </w:r>
    </w:p>
    <w:p>
      <w:r>
        <w:t>A frequent question, and the guidance is simple:</w:t>
      </w:r>
    </w:p>
    <w:p>
      <w:pPr>
        <w:pStyle w:val="ListBullet"/>
      </w:pPr>
      <w:r>
        <w:t>Chat for anything conversational, time-sensitive or internal.</w:t>
      </w:r>
    </w:p>
    <w:p>
      <w:pPr>
        <w:pStyle w:val="ListBullet"/>
      </w:pPr>
      <w:r>
        <w:t>Email for anything a client will read, anything that needs a record, and</w:t>
      </w:r>
    </w:p>
    <w:p>
      <w:r>
        <w:t>anything a person not currently in the conversation may later need to find.</w:t>
      </w:r>
    </w:p>
    <w:p>
      <w:r>
        <w:t>Decisions reached in chat that matter should be summarised somewhere durable — the wiki, the engagement record, or an email. Chat is searchable but not discoverable by someone who does not know the conversation exists.</w:t>
      </w:r>
    </w:p>
    <w:p>
      <w:pPr>
        <w:pStyle w:val="Heading1"/>
      </w:pPr>
      <w:r>
        <w:t>4. Sharing outside Zuqah Technologies</w:t>
      </w:r>
    </w:p>
    <w:p>
      <w:pPr>
        <w:pStyle w:val="Heading2"/>
      </w:pPr>
      <w:r>
        <w:t>4.1 Guest access</w:t>
      </w:r>
    </w:p>
    <w:p>
      <w:r>
        <w:t>External people can be invited to a specific Teams channel or Files folder. The invitation is granted per resource, never to the whole workspace, and requires:</w:t>
      </w:r>
    </w:p>
    <w:p>
      <w:pPr>
        <w:pStyle w:val="ListBullet"/>
      </w:pPr>
      <w:r>
        <w:t>A business reason recorded on the invitation</w:t>
      </w:r>
    </w:p>
    <w:p>
      <w:pPr>
        <w:pStyle w:val="ListBullet"/>
      </w:pPr>
      <w:r>
        <w:t>An expiry date, maximum 12 months</w:t>
      </w:r>
    </w:p>
    <w:p>
      <w:pPr>
        <w:pStyle w:val="ListBullet"/>
      </w:pPr>
      <w:r>
        <w:t>Approval by the resource owner</w:t>
      </w:r>
    </w:p>
    <w:p>
      <w:r>
        <w:t>Guests can see only what they are invited to. They cannot browse, search across Zuqah Technologies, or see the directory.</w:t>
      </w:r>
    </w:p>
    <w:p>
      <w:pPr>
        <w:pStyle w:val="Heading2"/>
      </w:pPr>
      <w:r>
        <w:t>4.2 Sharing links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Link type</w:t>
            </w:r>
          </w:p>
        </w:tc>
        <w:tc>
          <w:tcPr>
            <w:tcW w:type="dxa" w:w="2880"/>
          </w:tcPr>
          <w:p>
            <w:r>
              <w:t>Available to</w:t>
            </w:r>
          </w:p>
        </w:tc>
        <w:tc>
          <w:tcPr>
            <w:tcW w:type="dxa" w:w="2880"/>
          </w:tcPr>
          <w:p>
            <w:r>
              <w:t>Use for</w:t>
            </w:r>
          </w:p>
        </w:tc>
      </w:tr>
      <w:tr>
        <w:tc>
          <w:tcPr>
            <w:tcW w:type="dxa" w:w="2880"/>
          </w:tcPr>
          <w:p>
            <w:r>
              <w:t>Specific people</w:t>
            </w:r>
          </w:p>
        </w:tc>
        <w:tc>
          <w:tcPr>
            <w:tcW w:type="dxa" w:w="2880"/>
          </w:tcPr>
          <w:p>
            <w:r>
              <w:t>Named recipients only</w:t>
            </w:r>
          </w:p>
        </w:tc>
        <w:tc>
          <w:tcPr>
            <w:tcW w:type="dxa" w:w="2880"/>
          </w:tcPr>
          <w:p>
            <w:r>
              <w:t>The default; use this</w:t>
            </w:r>
          </w:p>
        </w:tc>
      </w:tr>
      <w:tr>
        <w:tc>
          <w:tcPr>
            <w:tcW w:type="dxa" w:w="2880"/>
          </w:tcPr>
          <w:p>
            <w:r>
              <w:t>Anyone in Zuqah Technologies</w:t>
            </w:r>
          </w:p>
        </w:tc>
        <w:tc>
          <w:tcPr>
            <w:tcW w:type="dxa" w:w="2880"/>
          </w:tcPr>
          <w:p>
            <w:r>
              <w:t>All employees</w:t>
            </w:r>
          </w:p>
        </w:tc>
        <w:tc>
          <w:tcPr>
            <w:tcW w:type="dxa" w:w="2880"/>
          </w:tcPr>
          <w:p>
            <w:r>
              <w:t>Internal, non-sensitive</w:t>
            </w:r>
          </w:p>
        </w:tc>
      </w:tr>
      <w:tr>
        <w:tc>
          <w:tcPr>
            <w:tcW w:type="dxa" w:w="2880"/>
          </w:tcPr>
          <w:p>
            <w:r>
              <w:t>Anyone with the link</w:t>
            </w:r>
          </w:p>
        </w:tc>
        <w:tc>
          <w:tcPr>
            <w:tcW w:type="dxa" w:w="2880"/>
          </w:tcPr>
          <w:p>
            <w:r>
              <w:t>Anybody who has the URL</w:t>
            </w:r>
          </w:p>
        </w:tc>
        <w:tc>
          <w:tcPr>
            <w:tcW w:type="dxa" w:w="2880"/>
          </w:tcPr>
          <w:p>
            <w:r>
              <w:t>Off by default; requires approval</w:t>
            </w:r>
          </w:p>
        </w:tc>
      </w:tr>
    </w:tbl>
    <w:p>
      <w:r>
        <w:t>"Anyone with the link" is disabled by default and is enabled per request, with an expiry. It is worth understanding why: such a link is a credential, and a credential forwarded in an email chain is a credential outside your control.</w:t>
      </w:r>
    </w:p>
    <w:p>
      <w:pPr>
        <w:pStyle w:val="Heading2"/>
      </w:pPr>
      <w:r>
        <w:t>4.3 Client data</w:t>
      </w:r>
    </w:p>
    <w:p>
      <w:r>
        <w:t>Client information is governed first by the engagement's own agreement. Where the client's terms are stricter than this standard, the client's terms apply. Where they are silent, this standard applies.</w:t>
      </w:r>
    </w:p>
    <w:p>
      <w:r>
        <w:t>Client data must remain in Zuqah Technologies Files or in the client's own systems. It must not be copied to personal storage, to a local folder synced to a personal account, or to a device that is not Zuqah Technologies-managed.</w:t>
      </w:r>
    </w:p>
    <w:p>
      <w:pPr>
        <w:pStyle w:val="Heading1"/>
      </w:pPr>
      <w:r>
        <w:t>5. Meeting recording</w:t>
      </w:r>
    </w:p>
    <w:p>
      <w:r>
        <w:t>Meetings may be recorded with the consent of participants. Consent must be explicit — announced at the start and given a chance to object — and, in some jurisdictions, is a legal requirement rather than a courtesy.</w:t>
      </w:r>
    </w:p>
    <w:p>
      <w:r>
        <w:t>Recordings are retained for 90 days and then deleted automatically. A recording that needs to be kept longer should be saved to Zuqah Technologies Files with a stated reason.</w:t>
      </w:r>
    </w:p>
    <w:p>
      <w:r>
        <w:t>Client meetings may be recorded only where the engagement permits it. When in doubt, ask before pressing record rather than after.</w:t>
      </w:r>
    </w:p>
    <w:p>
      <w:pPr>
        <w:pStyle w:val="Heading1"/>
      </w:pPr>
      <w:r>
        <w:t>6.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Retained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7 years</w:t>
            </w:r>
          </w:p>
        </w:tc>
      </w:tr>
      <w:tr>
        <w:tc>
          <w:tcPr>
            <w:tcW w:type="dxa" w:w="4320"/>
          </w:tcPr>
          <w:p>
            <w:r>
              <w:t>Teams chat</w:t>
            </w:r>
          </w:p>
        </w:tc>
        <w:tc>
          <w:tcPr>
            <w:tcW w:type="dxa" w:w="4320"/>
          </w:tcPr>
          <w:p>
            <w:r>
              <w:t>3 years</w:t>
            </w:r>
          </w:p>
        </w:tc>
      </w:tr>
      <w:tr>
        <w:tc>
          <w:tcPr>
            <w:tcW w:type="dxa" w:w="4320"/>
          </w:tcPr>
          <w:p>
            <w:r>
              <w:t>Teams channel messages</w:t>
            </w:r>
          </w:p>
        </w:tc>
        <w:tc>
          <w:tcPr>
            <w:tcW w:type="dxa" w:w="4320"/>
          </w:tcPr>
          <w:p>
            <w:r>
              <w:t>7 years</w:t>
            </w:r>
          </w:p>
        </w:tc>
      </w:tr>
      <w:tr>
        <w:tc>
          <w:tcPr>
            <w:tcW w:type="dxa" w:w="4320"/>
          </w:tcPr>
          <w:p>
            <w:r>
              <w:t>Meeting recordings</w:t>
            </w:r>
          </w:p>
        </w:tc>
        <w:tc>
          <w:tcPr>
            <w:tcW w:type="dxa" w:w="4320"/>
          </w:tcPr>
          <w:p>
            <w:r>
              <w:t>90 days</w:t>
            </w:r>
          </w:p>
        </w:tc>
      </w:tr>
      <w:tr>
        <w:tc>
          <w:tcPr>
            <w:tcW w:type="dxa" w:w="4320"/>
          </w:tcPr>
          <w:p>
            <w:r>
              <w:t>Files, active</w:t>
            </w:r>
          </w:p>
        </w:tc>
        <w:tc>
          <w:tcPr>
            <w:tcW w:type="dxa" w:w="4320"/>
          </w:tcPr>
          <w:p>
            <w:r>
              <w:t>Indefinitely</w:t>
            </w:r>
          </w:p>
        </w:tc>
      </w:tr>
      <w:tr>
        <w:tc>
          <w:tcPr>
            <w:tcW w:type="dxa" w:w="4320"/>
          </w:tcPr>
          <w:p>
            <w:r>
              <w:t>Files, deleted</w:t>
            </w:r>
          </w:p>
        </w:tc>
        <w:tc>
          <w:tcPr>
            <w:tcW w:type="dxa" w:w="4320"/>
          </w:tcPr>
          <w:p>
            <w:r>
              <w:t>93 days in the recycle bin, then permanently</w:t>
            </w:r>
          </w:p>
        </w:tc>
      </w:tr>
    </w:tbl>
    <w:p>
      <w:r>
        <w:t>Retention is applied automatically. Employees must not attempt to shorten it by deleting content that is subject to a legal hold; where a hold applies, People Operations or Legal will say so explicitly.</w:t>
      </w:r>
    </w:p>
    <w:p>
      <w:pPr>
        <w:pStyle w:val="Heading1"/>
      </w:pPr>
      <w:r>
        <w:t>7. Naming and structure</w:t>
      </w:r>
    </w:p>
    <w:p>
      <w:r>
        <w:t>Files belong in the engagement or practice folder, not in a personal folder. Content in a personal folder is invisible to colleagues and is deleted when the employee leaves — which is the most common way work is lost at Zuqah Technologies.</w:t>
      </w:r>
    </w:p>
    <w:p>
      <w:pPr>
        <w:pStyle w:val="Heading1"/>
      </w:pPr>
      <w:r>
        <w:t>8. Leaving Zuqah Technologies</w:t>
      </w:r>
    </w:p>
    <w:p>
      <w:r>
        <w:t>On departure, mailbox and files are retained per section 6 and transferred to the line manager. Personal content should be removed before the final working day. See the Code of Conduct on what may be treated as personal.</w:t>
      </w:r>
    </w:p>
    <w:p>
      <w:r>
        <w:t>this document describes no real organisation's policy.*</w:t>
      </w:r>
    </w:p>
    <w:p>
      <w:r>
        <w:rPr>
          <w:i/>
          <w:color w:val="94A3B8"/>
          <w:sz w:val="16"/>
        </w:rPr>
        <w:t>Sample content for demonstration purposes. Zuqah Technologies is a fictional company and this document describes no real organisation's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