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Employee Data Privacy Policy</w:t>
      </w:r>
    </w:p>
    <w:p>
      <w:r>
        <w:rPr>
          <w:color w:val="64748B"/>
          <w:sz w:val="17"/>
        </w:rPr>
        <w:t>Version 1.0  |  Owner: People Operations  |  Effective 2026-01-01  |  Next review 2027-01-01</w:t>
      </w:r>
    </w:p>
    <w:p>
      <w:pPr>
        <w:pStyle w:val="Heading1"/>
      </w:pPr>
      <w:r>
        <w:t>1. Purpose</w:t>
      </w:r>
    </w:p>
    <w:p>
      <w:r>
        <w:t>Zuqah Technologies collects and uses personal data about employees and candidates in order to manage employment relationships, comply with legal obligations and operate the business. This policy explains what data is collected, why, how long it is kept and what rights employees have.</w:t>
      </w:r>
    </w:p>
    <w:p>
      <w:r>
        <w:t>This policy is consistent with India's Digital Personal Data Protection Act, 2023 (DPDP Act) and applicable rules.</w:t>
      </w:r>
    </w:p>
    <w:p>
      <w:pPr>
        <w:pStyle w:val="Heading1"/>
      </w:pPr>
      <w:r>
        <w:t>2. What personal data we collect</w:t>
      </w:r>
    </w:p>
    <w:p>
      <w:pPr>
        <w:pStyle w:val="Heading2"/>
      </w:pPr>
      <w:r>
        <w:t>2.1 Data collected from candidates</w:t>
      </w:r>
    </w:p>
    <w:p>
      <w:pPr>
        <w:pStyle w:val="ListBullet"/>
      </w:pPr>
      <w:r>
        <w:t>Name, contact details (phone, email, address)</w:t>
      </w:r>
    </w:p>
    <w:p>
      <w:pPr>
        <w:pStyle w:val="ListBullet"/>
      </w:pPr>
      <w:r>
        <w:t>CV/résumé, work history and qualifications</w:t>
      </w:r>
    </w:p>
    <w:p>
      <w:pPr>
        <w:pStyle w:val="ListBullet"/>
      </w:pPr>
      <w:r>
        <w:t>Identity documents (PAN card, Aadhaar where required for verification)</w:t>
      </w:r>
    </w:p>
    <w:p>
      <w:pPr>
        <w:pStyle w:val="ListBullet"/>
      </w:pPr>
      <w:r>
        <w:t>References</w:t>
      </w:r>
    </w:p>
    <w:p>
      <w:pPr>
        <w:pStyle w:val="Heading2"/>
      </w:pPr>
      <w:r>
        <w:t>2.2 Data collected from employees</w:t>
      </w:r>
    </w:p>
    <w:p>
      <w:r>
        <w:t>Identity and contact</w:t>
      </w:r>
    </w:p>
    <w:p>
      <w:pPr>
        <w:pStyle w:val="ListBullet"/>
      </w:pPr>
      <w:r>
        <w:t>Full name, date of birth, gender</w:t>
      </w:r>
    </w:p>
    <w:p>
      <w:pPr>
        <w:pStyle w:val="ListBullet"/>
      </w:pPr>
      <w:r>
        <w:t>Photograph (for ID badge and HR systems)</w:t>
      </w:r>
    </w:p>
    <w:p>
      <w:pPr>
        <w:pStyle w:val="ListBullet"/>
      </w:pPr>
      <w:r>
        <w:t>Home address, personal phone and email</w:t>
      </w:r>
    </w:p>
    <w:p>
      <w:r>
        <w:t>Employment data</w:t>
      </w:r>
    </w:p>
    <w:p>
      <w:pPr>
        <w:pStyle w:val="ListBullet"/>
      </w:pPr>
      <w:r>
        <w:t>Job title, department, reporting manager</w:t>
      </w:r>
    </w:p>
    <w:p>
      <w:pPr>
        <w:pStyle w:val="ListBullet"/>
      </w:pPr>
      <w:r>
        <w:t>Employment contract, compensation, benefits elections</w:t>
      </w:r>
    </w:p>
    <w:p>
      <w:pPr>
        <w:pStyle w:val="ListBullet"/>
      </w:pPr>
      <w:r>
        <w:t>Performance reviews, ratings and feedback</w:t>
      </w:r>
    </w:p>
    <w:p>
      <w:pPr>
        <w:pStyle w:val="ListBullet"/>
      </w:pPr>
      <w:r>
        <w:t>Attendance, leave records, timesheets</w:t>
      </w:r>
    </w:p>
    <w:p>
      <w:pPr>
        <w:pStyle w:val="ListBullet"/>
      </w:pPr>
      <w:r>
        <w:t>Training records and certifications</w:t>
      </w:r>
    </w:p>
    <w:p>
      <w:r>
        <w:t>Financial data</w:t>
      </w:r>
    </w:p>
    <w:p>
      <w:pPr>
        <w:pStyle w:val="ListBullet"/>
      </w:pPr>
      <w:r>
        <w:t>Bank account details (for payroll)</w:t>
      </w:r>
    </w:p>
    <w:p>
      <w:pPr>
        <w:pStyle w:val="ListBullet"/>
      </w:pPr>
      <w:r>
        <w:t>PAN number (for TDS and Form 16)</w:t>
      </w:r>
    </w:p>
    <w:p>
      <w:pPr>
        <w:pStyle w:val="ListBullet"/>
      </w:pPr>
      <w:r>
        <w:t>PF (Provident Fund) account number</w:t>
      </w:r>
    </w:p>
    <w:p>
      <w:pPr>
        <w:pStyle w:val="ListBullet"/>
      </w:pPr>
      <w:r>
        <w:t>Expense claims and receipts</w:t>
      </w:r>
    </w:p>
    <w:p>
      <w:r>
        <w:t>Health data (collected only where required)</w:t>
      </w:r>
    </w:p>
    <w:p>
      <w:pPr>
        <w:pStyle w:val="ListBullet"/>
      </w:pPr>
      <w:r>
        <w:t>Medical certificates submitted for sick leave</w:t>
      </w:r>
    </w:p>
    <w:p>
      <w:pPr>
        <w:pStyle w:val="ListBullet"/>
      </w:pPr>
      <w:r>
        <w:t>Information provided for disability adjustments</w:t>
      </w:r>
    </w:p>
    <w:p>
      <w:pPr>
        <w:pStyle w:val="ListBullet"/>
      </w:pPr>
      <w:r>
        <w:t>Occupational health assessments, where arranged</w:t>
      </w:r>
    </w:p>
    <w:p>
      <w:r>
        <w:t>IT and security data</w:t>
      </w:r>
    </w:p>
    <w:p>
      <w:pPr>
        <w:pStyle w:val="ListBullet"/>
      </w:pPr>
      <w:r>
        <w:t>Access logs for systems and applications</w:t>
      </w:r>
    </w:p>
    <w:p>
      <w:pPr>
        <w:pStyle w:val="ListBullet"/>
      </w:pPr>
      <w:r>
        <w:t>Email metadata (sender, recipient, timestamp — not content except in</w:t>
      </w:r>
    </w:p>
    <w:p>
      <w:r>
        <w:t>authorised investigations)</w:t>
      </w:r>
    </w:p>
    <w:p>
      <w:pPr>
        <w:pStyle w:val="ListBullet"/>
      </w:pPr>
      <w:r>
        <w:t>CCTV footage at office premises (see below)</w:t>
      </w:r>
    </w:p>
    <w:p>
      <w:pPr>
        <w:pStyle w:val="Heading2"/>
      </w:pPr>
      <w:r>
        <w:t>2.3 Sensitive personal data</w:t>
      </w:r>
    </w:p>
    <w:p>
      <w:r>
        <w:t>Health data, biometric data and financial data are treated as sensitive personal data and are subject to additional safeguards including restricted access and encryption.</w:t>
      </w:r>
    </w:p>
    <w:p>
      <w:pPr>
        <w:pStyle w:val="Heading1"/>
      </w:pPr>
      <w:r>
        <w:t>3. Why we collect and use personal data</w:t>
      </w:r>
    </w:p>
    <w:tbl>
      <w:tblPr>
        <w:tblStyle w:val="LightGrid-Accent1"/>
        <w:tblW w:type="auto" w:w="0"/>
        <w:tblLook w:firstColumn="1" w:firstRow="1" w:lastColumn="0" w:lastRow="0" w:noHBand="0" w:noVBand="1" w:val="04A0"/>
      </w:tblPr>
      <w:tblGrid>
        <w:gridCol w:w="4320"/>
        <w:gridCol w:w="4320"/>
      </w:tblGrid>
      <w:tr>
        <w:tc>
          <w:tcPr>
            <w:tcW w:type="dxa" w:w="4320"/>
          </w:tcPr>
          <w:p>
            <w:r>
              <w:t>Purpose</w:t>
            </w:r>
          </w:p>
        </w:tc>
        <w:tc>
          <w:tcPr>
            <w:tcW w:type="dxa" w:w="4320"/>
          </w:tcPr>
          <w:p>
            <w:r>
              <w:t>Legal basis</w:t>
            </w:r>
          </w:p>
        </w:tc>
      </w:tr>
      <w:tr>
        <w:tc>
          <w:tcPr>
            <w:tcW w:type="dxa" w:w="4320"/>
          </w:tcPr>
          <w:p>
            <w:r>
              <w:t>Managing the employment relationship</w:t>
            </w:r>
          </w:p>
        </w:tc>
        <w:tc>
          <w:tcPr>
            <w:tcW w:type="dxa" w:w="4320"/>
          </w:tcPr>
          <w:p>
            <w:r>
              <w:t>Contract; legal obligation</w:t>
            </w:r>
          </w:p>
        </w:tc>
      </w:tr>
      <w:tr>
        <w:tc>
          <w:tcPr>
            <w:tcW w:type="dxa" w:w="4320"/>
          </w:tcPr>
          <w:p>
            <w:r>
              <w:t>Paying salaries and processing statutory deductions (PF, TDS, PT)</w:t>
            </w:r>
          </w:p>
        </w:tc>
        <w:tc>
          <w:tcPr>
            <w:tcW w:type="dxa" w:w="4320"/>
          </w:tcPr>
          <w:p>
            <w:r>
              <w:t>Legal obligation</w:t>
            </w:r>
          </w:p>
        </w:tc>
      </w:tr>
      <w:tr>
        <w:tc>
          <w:tcPr>
            <w:tcW w:type="dxa" w:w="4320"/>
          </w:tcPr>
          <w:p>
            <w:r>
              <w:t>Processing expense claims and business travel</w:t>
            </w:r>
          </w:p>
        </w:tc>
        <w:tc>
          <w:tcPr>
            <w:tcW w:type="dxa" w:w="4320"/>
          </w:tcPr>
          <w:p>
            <w:r>
              <w:t>Contract</w:t>
            </w:r>
          </w:p>
        </w:tc>
      </w:tr>
      <w:tr>
        <w:tc>
          <w:tcPr>
            <w:tcW w:type="dxa" w:w="4320"/>
          </w:tcPr>
          <w:p>
            <w:r>
              <w:t>Leave and attendance management</w:t>
            </w:r>
          </w:p>
        </w:tc>
        <w:tc>
          <w:tcPr>
            <w:tcW w:type="dxa" w:w="4320"/>
          </w:tcPr>
          <w:p>
            <w:r>
              <w:t>Contract; legal obligation</w:t>
            </w:r>
          </w:p>
        </w:tc>
      </w:tr>
      <w:tr>
        <w:tc>
          <w:tcPr>
            <w:tcW w:type="dxa" w:w="4320"/>
          </w:tcPr>
          <w:p>
            <w:r>
              <w:t>Performance management</w:t>
            </w:r>
          </w:p>
        </w:tc>
        <w:tc>
          <w:tcPr>
            <w:tcW w:type="dxa" w:w="4320"/>
          </w:tcPr>
          <w:p>
            <w:r>
              <w:t>Legitimate business interest</w:t>
            </w:r>
          </w:p>
        </w:tc>
      </w:tr>
      <w:tr>
        <w:tc>
          <w:tcPr>
            <w:tcW w:type="dxa" w:w="4320"/>
          </w:tcPr>
          <w:p>
            <w:r>
              <w:t>Providing references</w:t>
            </w:r>
          </w:p>
        </w:tc>
        <w:tc>
          <w:tcPr>
            <w:tcW w:type="dxa" w:w="4320"/>
          </w:tcPr>
          <w:p>
            <w:r>
              <w:t>Legitimate business interest (with employee consent for detailed references)</w:t>
            </w:r>
          </w:p>
        </w:tc>
      </w:tr>
      <w:tr>
        <w:tc>
          <w:tcPr>
            <w:tcW w:type="dxa" w:w="4320"/>
          </w:tcPr>
          <w:p>
            <w:r>
              <w:t>Compliance with statutory reporting</w:t>
            </w:r>
          </w:p>
        </w:tc>
        <w:tc>
          <w:tcPr>
            <w:tcW w:type="dxa" w:w="4320"/>
          </w:tcPr>
          <w:p>
            <w:r>
              <w:t>Legal obligation</w:t>
            </w:r>
          </w:p>
        </w:tc>
      </w:tr>
      <w:tr>
        <w:tc>
          <w:tcPr>
            <w:tcW w:type="dxa" w:w="4320"/>
          </w:tcPr>
          <w:p>
            <w:r>
              <w:t>Maintaining system security and investigating incidents</w:t>
            </w:r>
          </w:p>
        </w:tc>
        <w:tc>
          <w:tcPr>
            <w:tcW w:type="dxa" w:w="4320"/>
          </w:tcPr>
          <w:p>
            <w:r>
              <w:t>Legitimate business interest</w:t>
            </w:r>
          </w:p>
        </w:tc>
      </w:tr>
      <w:tr>
        <w:tc>
          <w:tcPr>
            <w:tcW w:type="dxa" w:w="4320"/>
          </w:tcPr>
          <w:p>
            <w:r>
              <w:t>Health and safety</w:t>
            </w:r>
          </w:p>
        </w:tc>
        <w:tc>
          <w:tcPr>
            <w:tcW w:type="dxa" w:w="4320"/>
          </w:tcPr>
          <w:p>
            <w:r>
              <w:t>Legal obligation; vital interests</w:t>
            </w:r>
          </w:p>
        </w:tc>
      </w:tr>
      <w:tr>
        <w:tc>
          <w:tcPr>
            <w:tcW w:type="dxa" w:w="4320"/>
          </w:tcPr>
          <w:p>
            <w:r>
              <w:t>POSH compliance and ICC proceedings</w:t>
            </w:r>
          </w:p>
        </w:tc>
        <w:tc>
          <w:tcPr>
            <w:tcW w:type="dxa" w:w="4320"/>
          </w:tcPr>
          <w:p>
            <w:r>
              <w:t>Legal obligation</w:t>
            </w:r>
          </w:p>
        </w:tc>
      </w:tr>
    </w:tbl>
    <w:p>
      <w:pPr>
        <w:pStyle w:val="Heading1"/>
      </w:pPr>
      <w:r>
        <w:t>4. Who has access to employee data</w:t>
      </w:r>
    </w:p>
    <w:p>
      <w:r>
        <w:t>Access is limited to:</w:t>
      </w:r>
    </w:p>
    <w:p>
      <w:pPr>
        <w:pStyle w:val="ListBullet"/>
      </w:pPr>
      <w:r>
        <w:t>People Operations — full access for employment purposes</w:t>
      </w:r>
    </w:p>
    <w:p>
      <w:pPr>
        <w:pStyle w:val="ListBullet"/>
      </w:pPr>
      <w:r>
        <w:t>Payroll team — financial data for payroll processing</w:t>
      </w:r>
    </w:p>
    <w:p>
      <w:pPr>
        <w:pStyle w:val="ListBullet"/>
      </w:pPr>
      <w:r>
        <w:t>The employee's direct manager — performance and attendance data</w:t>
      </w:r>
    </w:p>
    <w:p>
      <w:pPr>
        <w:pStyle w:val="ListBullet"/>
      </w:pPr>
      <w:r>
        <w:t>IT Security — access logs and device data for security purposes</w:t>
      </w:r>
    </w:p>
    <w:p>
      <w:pPr>
        <w:pStyle w:val="ListBullet"/>
      </w:pPr>
      <w:r>
        <w:t>Finance team — expense claims and reimbursements</w:t>
      </w:r>
    </w:p>
    <w:p>
      <w:pPr>
        <w:pStyle w:val="ListBullet"/>
      </w:pPr>
      <w:r>
        <w:t>External service providers (payroll processor, benefits administrator) — under</w:t>
      </w:r>
    </w:p>
    <w:p>
      <w:r>
        <w:t>data processing agreements that restrict use to the specified purpose</w:t>
      </w:r>
    </w:p>
    <w:p>
      <w:r>
        <w:t>Employee data is never sold to third parties.</w:t>
      </w:r>
    </w:p>
    <w:p>
      <w:pPr>
        <w:pStyle w:val="Heading1"/>
      </w:pPr>
      <w:r>
        <w:t>5. Data retention</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Retention period</w:t>
            </w:r>
          </w:p>
        </w:tc>
      </w:tr>
      <w:tr>
        <w:tc>
          <w:tcPr>
            <w:tcW w:type="dxa" w:w="4320"/>
          </w:tcPr>
          <w:p>
            <w:r>
              <w:t>Candidate data (unsuccessful)</w:t>
            </w:r>
          </w:p>
        </w:tc>
        <w:tc>
          <w:tcPr>
            <w:tcW w:type="dxa" w:w="4320"/>
          </w:tcPr>
          <w:p>
            <w:r>
              <w:t>6 months from rejection</w:t>
            </w:r>
          </w:p>
        </w:tc>
      </w:tr>
      <w:tr>
        <w:tc>
          <w:tcPr>
            <w:tcW w:type="dxa" w:w="4320"/>
          </w:tcPr>
          <w:p>
            <w:r>
              <w:t>Employment contract and key HR records</w:t>
            </w:r>
          </w:p>
        </w:tc>
        <w:tc>
          <w:tcPr>
            <w:tcW w:type="dxa" w:w="4320"/>
          </w:tcPr>
          <w:p>
            <w:r>
              <w:t>7 years after employment ends</w:t>
            </w:r>
          </w:p>
        </w:tc>
      </w:tr>
      <w:tr>
        <w:tc>
          <w:tcPr>
            <w:tcW w:type="dxa" w:w="4320"/>
          </w:tcPr>
          <w:p>
            <w:r>
              <w:t>Payroll records and tax documents</w:t>
            </w:r>
          </w:p>
        </w:tc>
        <w:tc>
          <w:tcPr>
            <w:tcW w:type="dxa" w:w="4320"/>
          </w:tcPr>
          <w:p>
            <w:r>
              <w:t>8 years after relevant financial year</w:t>
            </w:r>
          </w:p>
        </w:tc>
      </w:tr>
      <w:tr>
        <w:tc>
          <w:tcPr>
            <w:tcW w:type="dxa" w:w="4320"/>
          </w:tcPr>
          <w:p>
            <w:r>
              <w:t>Performance reviews</w:t>
            </w:r>
          </w:p>
        </w:tc>
        <w:tc>
          <w:tcPr>
            <w:tcW w:type="dxa" w:w="4320"/>
          </w:tcPr>
          <w:p>
            <w:r>
              <w:t>3 years</w:t>
            </w:r>
          </w:p>
        </w:tc>
      </w:tr>
      <w:tr>
        <w:tc>
          <w:tcPr>
            <w:tcW w:type="dxa" w:w="4320"/>
          </w:tcPr>
          <w:p>
            <w:r>
              <w:t>Leave records</w:t>
            </w:r>
          </w:p>
        </w:tc>
        <w:tc>
          <w:tcPr>
            <w:tcW w:type="dxa" w:w="4320"/>
          </w:tcPr>
          <w:p>
            <w:r>
              <w:t>5 years</w:t>
            </w:r>
          </w:p>
        </w:tc>
      </w:tr>
      <w:tr>
        <w:tc>
          <w:tcPr>
            <w:tcW w:type="dxa" w:w="4320"/>
          </w:tcPr>
          <w:p>
            <w:r>
              <w:t>Expense claims and receipts</w:t>
            </w:r>
          </w:p>
        </w:tc>
        <w:tc>
          <w:tcPr>
            <w:tcW w:type="dxa" w:w="4320"/>
          </w:tcPr>
          <w:p>
            <w:r>
              <w:t>7 years</w:t>
            </w:r>
          </w:p>
        </w:tc>
      </w:tr>
      <w:tr>
        <w:tc>
          <w:tcPr>
            <w:tcW w:type="dxa" w:w="4320"/>
          </w:tcPr>
          <w:p>
            <w:r>
              <w:t>CCTV footage</w:t>
            </w:r>
          </w:p>
        </w:tc>
        <w:tc>
          <w:tcPr>
            <w:tcW w:type="dxa" w:w="4320"/>
          </w:tcPr>
          <w:p>
            <w:r>
              <w:t>30 days (extended if needed for investigation)</w:t>
            </w:r>
          </w:p>
        </w:tc>
      </w:tr>
      <w:tr>
        <w:tc>
          <w:tcPr>
            <w:tcW w:type="dxa" w:w="4320"/>
          </w:tcPr>
          <w:p>
            <w:r>
              <w:t>IT access logs</w:t>
            </w:r>
          </w:p>
        </w:tc>
        <w:tc>
          <w:tcPr>
            <w:tcW w:type="dxa" w:w="4320"/>
          </w:tcPr>
          <w:p>
            <w:r>
              <w:t>6 months</w:t>
            </w:r>
          </w:p>
        </w:tc>
      </w:tr>
      <w:tr>
        <w:tc>
          <w:tcPr>
            <w:tcW w:type="dxa" w:w="4320"/>
          </w:tcPr>
          <w:p>
            <w:r>
              <w:t>ICC inquiry records</w:t>
            </w:r>
          </w:p>
        </w:tc>
        <w:tc>
          <w:tcPr>
            <w:tcW w:type="dxa" w:w="4320"/>
          </w:tcPr>
          <w:p>
            <w:r>
              <w:t>7 years</w:t>
            </w:r>
          </w:p>
        </w:tc>
      </w:tr>
    </w:tbl>
    <w:p>
      <w:r>
        <w:t>After the retention period, data is securely deleted or anonymised.</w:t>
      </w:r>
    </w:p>
    <w:p>
      <w:pPr>
        <w:pStyle w:val="Heading1"/>
      </w:pPr>
      <w:r>
        <w:t>6. Data security</w:t>
      </w:r>
    </w:p>
    <w:p>
      <w:r>
        <w:t>Zuqah Technologies takes the following measures to protect personal data:</w:t>
      </w:r>
    </w:p>
    <w:p>
      <w:pPr>
        <w:pStyle w:val="ListBullet"/>
      </w:pPr>
      <w:r>
        <w:t>Encryption at rest and in transit for all systems containing personal data</w:t>
      </w:r>
    </w:p>
    <w:p>
      <w:pPr>
        <w:pStyle w:val="ListBullet"/>
      </w:pPr>
      <w:r>
        <w:t>Role-based access controls: employees can only see data relevant to their role</w:t>
      </w:r>
    </w:p>
    <w:p>
      <w:pPr>
        <w:pStyle w:val="ListBullet"/>
      </w:pPr>
      <w:r>
        <w:t>All third-party data processors are assessed for security compliance before</w:t>
      </w:r>
    </w:p>
    <w:p>
      <w:r>
        <w:t>appointment</w:t>
      </w:r>
    </w:p>
    <w:p>
      <w:pPr>
        <w:pStyle w:val="ListBullet"/>
      </w:pPr>
      <w:r>
        <w:t>Systems containing sensitive data are monitored for unauthorised access</w:t>
      </w:r>
    </w:p>
    <w:p>
      <w:pPr>
        <w:pStyle w:val="ListBullet"/>
      </w:pPr>
      <w:r>
        <w:t>Employees are trained annually on data handling responsibilities</w:t>
      </w:r>
    </w:p>
    <w:p>
      <w:pPr>
        <w:pStyle w:val="Heading1"/>
      </w:pPr>
      <w:r>
        <w:t>7. Employee rights under the DPDP Act, 2023</w:t>
      </w:r>
    </w:p>
    <w:p>
      <w:r>
        <w:t>Under the Digital Personal Data Protection Act, 2023, employees have the following rights:</w:t>
      </w:r>
    </w:p>
    <w:tbl>
      <w:tblPr>
        <w:tblStyle w:val="LightGrid-Accent1"/>
        <w:tblW w:type="auto" w:w="0"/>
        <w:tblLook w:firstColumn="1" w:firstRow="1" w:lastColumn="0" w:lastRow="0" w:noHBand="0" w:noVBand="1" w:val="04A0"/>
      </w:tblPr>
      <w:tblGrid>
        <w:gridCol w:w="4320"/>
        <w:gridCol w:w="4320"/>
      </w:tblGrid>
      <w:tr>
        <w:tc>
          <w:tcPr>
            <w:tcW w:type="dxa" w:w="4320"/>
          </w:tcPr>
          <w:p>
            <w:r>
              <w:t>Right</w:t>
            </w:r>
          </w:p>
        </w:tc>
        <w:tc>
          <w:tcPr>
            <w:tcW w:type="dxa" w:w="4320"/>
          </w:tcPr>
          <w:p>
            <w:r>
              <w:t>What it means</w:t>
            </w:r>
          </w:p>
        </w:tc>
      </w:tr>
      <w:tr>
        <w:tc>
          <w:tcPr>
            <w:tcW w:type="dxa" w:w="4320"/>
          </w:tcPr>
          <w:p>
            <w:r>
              <w:t>Right to access</w:t>
            </w:r>
          </w:p>
        </w:tc>
        <w:tc>
          <w:tcPr>
            <w:tcW w:type="dxa" w:w="4320"/>
          </w:tcPr>
          <w:p>
            <w:r>
              <w:t>Receive a summary of personal data held and how it is being used</w:t>
            </w:r>
          </w:p>
        </w:tc>
      </w:tr>
      <w:tr>
        <w:tc>
          <w:tcPr>
            <w:tcW w:type="dxa" w:w="4320"/>
          </w:tcPr>
          <w:p>
            <w:r>
              <w:t>Right to correction</w:t>
            </w:r>
          </w:p>
        </w:tc>
        <w:tc>
          <w:tcPr>
            <w:tcW w:type="dxa" w:w="4320"/>
          </w:tcPr>
          <w:p>
            <w:r>
              <w:t>Have inaccurate data corrected and incomplete data completed</w:t>
            </w:r>
          </w:p>
        </w:tc>
      </w:tr>
      <w:tr>
        <w:tc>
          <w:tcPr>
            <w:tcW w:type="dxa" w:w="4320"/>
          </w:tcPr>
          <w:p>
            <w:r>
              <w:t>Right to erasure</w:t>
            </w:r>
          </w:p>
        </w:tc>
        <w:tc>
          <w:tcPr>
            <w:tcW w:type="dxa" w:w="4320"/>
          </w:tcPr>
          <w:p>
            <w:r>
              <w:t>Request deletion of data where the purpose for processing has ended and no legal obligation requires retention</w:t>
            </w:r>
          </w:p>
        </w:tc>
      </w:tr>
      <w:tr>
        <w:tc>
          <w:tcPr>
            <w:tcW w:type="dxa" w:w="4320"/>
          </w:tcPr>
          <w:p>
            <w:r>
              <w:t>Right to grievance</w:t>
            </w:r>
          </w:p>
        </w:tc>
        <w:tc>
          <w:tcPr>
            <w:tcW w:type="dxa" w:w="4320"/>
          </w:tcPr>
          <w:p>
            <w:r>
              <w:t>Raise a concern with the Data Protection Board of India</w:t>
            </w:r>
          </w:p>
        </w:tc>
      </w:tr>
      <w:tr>
        <w:tc>
          <w:tcPr>
            <w:tcW w:type="dxa" w:w="4320"/>
          </w:tcPr>
          <w:p>
            <w:r>
              <w:t>Right to nominate</w:t>
            </w:r>
          </w:p>
        </w:tc>
        <w:tc>
          <w:tcPr>
            <w:tcW w:type="dxa" w:w="4320"/>
          </w:tcPr>
          <w:p>
            <w:r>
              <w:t>Nominate a person to exercise rights on your behalf in the event of death or incapacity</w:t>
            </w:r>
          </w:p>
        </w:tc>
      </w:tr>
    </w:tbl>
    <w:p>
      <w:r>
        <w:t>To exercise any of these rights, contact People Operations at people@zuqahtechnologies.com. Requests will be responded to within 30 days.</w:t>
      </w:r>
    </w:p>
    <w:p>
      <w:pPr>
        <w:pStyle w:val="Heading1"/>
      </w:pPr>
      <w:r>
        <w:t>8. Workplace monitoring</w:t>
      </w:r>
    </w:p>
    <w:p>
      <w:pPr>
        <w:pStyle w:val="Heading2"/>
      </w:pPr>
      <w:r>
        <w:t>8.1 CCTV</w:t>
      </w:r>
    </w:p>
    <w:p>
      <w:r>
        <w:t>CCTV cameras are installed in public areas of Zuqah Technologies offices (entrances, common areas). They are not installed in private areas (bathrooms, changing rooms, prayer rooms). Footage is reviewed only in connection with a security or safety incident.</w:t>
      </w:r>
    </w:p>
    <w:p>
      <w:pPr>
        <w:pStyle w:val="Heading2"/>
      </w:pPr>
      <w:r>
        <w:t>8.2 Device and network monitoring</w:t>
      </w:r>
    </w:p>
    <w:p>
      <w:r>
        <w:t>Company-provided devices and the company network may be monitored for security purposes. This monitoring captures metadata (what systems were accessed, when) and is not used to track personal activity. Monitoring is authorised under Zuqah Technologies' IT Acceptable Use Policy.</w:t>
      </w:r>
    </w:p>
    <w:p>
      <w:pPr>
        <w:pStyle w:val="Heading2"/>
      </w:pPr>
      <w:r>
        <w:t>8.3 Email monitoring</w:t>
      </w:r>
    </w:p>
    <w:p>
      <w:r>
        <w:t>The content of company email is not routinely monitored. Access to email content requires senior management authorisation and will only occur as part of an authorised investigation.</w:t>
      </w:r>
    </w:p>
    <w:p>
      <w:pPr>
        <w:pStyle w:val="Heading1"/>
      </w:pPr>
      <w:r>
        <w:t>9. Data breach</w:t>
      </w:r>
    </w:p>
    <w:p>
      <w:r>
        <w:t>If a data breach involving employee personal data occurs or is suspected, Zuqah Technologies will:</w:t>
      </w:r>
    </w:p>
    <w:p>
      <w:pPr>
        <w:pStyle w:val="ListBullet"/>
      </w:pPr>
      <w:r>
        <w:t>Investigate and contain the breach immediately</w:t>
      </w:r>
    </w:p>
    <w:p>
      <w:pPr>
        <w:pStyle w:val="ListBullet"/>
      </w:pPr>
      <w:r>
        <w:t>Notify affected employees promptly where there is a risk to their rights</w:t>
      </w:r>
    </w:p>
    <w:p>
      <w:pPr>
        <w:pStyle w:val="ListBullet"/>
      </w:pPr>
      <w:r>
        <w:t>Notify the Data Protection Board of India where required by law</w:t>
      </w:r>
    </w:p>
    <w:p>
      <w:pPr>
        <w:pStyle w:val="ListBullet"/>
      </w:pPr>
      <w:r>
        <w:t>Take steps to prevent recurrence</w:t>
      </w:r>
    </w:p>
    <w:p>
      <w:r>
        <w:t>Employees who become aware of a potential data breach must report it to the IT Security team immediately at security@zuqahtechnologies.com.</w:t>
      </w:r>
    </w:p>
    <w:p>
      <w:pPr>
        <w:pStyle w:val="Heading1"/>
      </w:pPr>
      <w:r>
        <w:t>10. Changes to this policy</w:t>
      </w:r>
    </w:p>
    <w:p>
      <w:r>
        <w:t>Zuqah Technologies may update this policy as law or practice changes. Employees will be notified of material changes.</w:t>
      </w:r>
    </w:p>
    <w:p>
      <w:pPr>
        <w:pStyle w:val="Heading1"/>
      </w:pPr>
      <w:r>
        <w:t>11. Contact</w:t>
      </w:r>
    </w:p>
    <w:p>
      <w:r>
        <w:t>For any questions about data privacy or to exercise your rights:</w:t>
      </w:r>
    </w:p>
    <w:p>
      <w:r>
        <w:t>People Operations: people@zuqahtechnologies.com</w:t>
      </w:r>
    </w:p>
    <w:p>
      <w:r>
        <w:t>Data Protection queries: privacy@zuqahtechnologies.com</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