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Expense and Travel Reimbursement Policy</w:t>
      </w:r>
    </w:p>
    <w:p>
      <w:r>
        <w:rPr>
          <w:color w:val="64748B"/>
          <w:sz w:val="17"/>
        </w:rPr>
        <w:t>Version 6.1  |  Owner: Finance Operations  |  Effective 2026-04-01  |  Next review 2027-04-01</w:t>
      </w:r>
    </w:p>
    <w:p>
      <w:pPr>
        <w:pStyle w:val="Heading1"/>
      </w:pPr>
      <w:r>
        <w:t>1. Purpose and principles</w:t>
      </w:r>
    </w:p>
    <w:p>
      <w:r>
        <w:t>Zuqah Technologies reimburses reasonable costs necessarily incurred in doing your job. Three principles govern every decision in this policy:</w:t>
      </w:r>
    </w:p>
    <w:p>
      <w:pPr>
        <w:pStyle w:val="ListBullet"/>
      </w:pPr>
      <w:r>
        <w:t>Spend it as if it were your own. Where this policy is silent, that is the test.</w:t>
      </w:r>
    </w:p>
    <w:p>
      <w:pPr>
        <w:pStyle w:val="ListBullet"/>
      </w:pPr>
      <w:r>
        <w:t>Book early. Cost is largely determined at the point of booking.</w:t>
      </w:r>
    </w:p>
    <w:p>
      <w:pPr>
        <w:pStyle w:val="ListBullet"/>
      </w:pPr>
      <w:r>
        <w:t>Client agreements take precedence. Where an engagement specifies different</w:t>
      </w:r>
    </w:p>
    <w:p>
      <w:r>
        <w:t>limits, those apply and the difference is billed accordingly.</w:t>
      </w:r>
    </w:p>
    <w:p>
      <w:pPr>
        <w:pStyle w:val="Heading1"/>
      </w:pPr>
      <w:r>
        <w:t>2. Limits</w:t>
      </w:r>
    </w:p>
    <w:p>
      <w:r>
        <w:t>All figures are per person and exclusive of tax unless stated. Amounts in other currencies are the local equivalent, converted at the rate on the transaction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Limit</w:t>
            </w:r>
          </w:p>
        </w:tc>
        <w:tc>
          <w:tcPr>
            <w:tcW w:type="dxa" w:w="2880"/>
          </w:tcPr>
          <w:p>
            <w:r>
              <w:t>Notes</w:t>
            </w:r>
          </w:p>
        </w:tc>
      </w:tr>
      <w:tr>
        <w:tc>
          <w:tcPr>
            <w:tcW w:type="dxa" w:w="2880"/>
          </w:tcPr>
          <w:p>
            <w:r>
              <w:t>Breakfast</w:t>
            </w:r>
          </w:p>
        </w:tc>
        <w:tc>
          <w:tcPr>
            <w:tcW w:type="dxa" w:w="2880"/>
          </w:tcPr>
          <w:p>
            <w:r>
              <w:t>$20</w:t>
            </w:r>
          </w:p>
        </w:tc>
        <w:tc>
          <w:tcPr>
            <w:tcW w:type="dxa" w:w="2880"/>
          </w:tcPr>
          <w:p>
            <w:r>
              <w:t>Only when travel starts before 07:00</w:t>
            </w:r>
          </w:p>
        </w:tc>
      </w:tr>
      <w:tr>
        <w:tc>
          <w:tcPr>
            <w:tcW w:type="dxa" w:w="2880"/>
          </w:tcPr>
          <w:p>
            <w:r>
              <w:t>Lunch</w:t>
            </w:r>
          </w:p>
        </w:tc>
        <w:tc>
          <w:tcPr>
            <w:tcW w:type="dxa" w:w="2880"/>
          </w:tcPr>
          <w:p>
            <w:r>
              <w:t>$25</w:t>
            </w:r>
          </w:p>
        </w:tc>
        <w:tc>
          <w:tcPr>
            <w:tcW w:type="dxa" w:w="2880"/>
          </w:tcPr>
          <w:p>
            <w:r>
              <w:t>Only when away from home and office</w:t>
            </w:r>
          </w:p>
        </w:tc>
      </w:tr>
      <w:tr>
        <w:tc>
          <w:tcPr>
            <w:tcW w:type="dxa" w:w="2880"/>
          </w:tcPr>
          <w:p>
            <w:r>
              <w:t>Dinner</w:t>
            </w:r>
          </w:p>
        </w:tc>
        <w:tc>
          <w:tcPr>
            <w:tcW w:type="dxa" w:w="2880"/>
          </w:tcPr>
          <w:p>
            <w:r>
              <w:t>$45</w:t>
            </w:r>
          </w:p>
        </w:tc>
        <w:tc>
          <w:tcPr>
            <w:tcW w:type="dxa" w:w="2880"/>
          </w:tcPr>
          <w:p>
            <w:r/>
          </w:p>
        </w:tc>
      </w:tr>
      <w:tr>
        <w:tc>
          <w:tcPr>
            <w:tcW w:type="dxa" w:w="2880"/>
          </w:tcPr>
          <w:p>
            <w:r>
              <w:t>Hotel, standard city</w:t>
            </w:r>
          </w:p>
        </w:tc>
        <w:tc>
          <w:tcPr>
            <w:tcW w:type="dxa" w:w="2880"/>
          </w:tcPr>
          <w:p>
            <w:r>
              <w:t>$220 per night</w:t>
            </w:r>
          </w:p>
        </w:tc>
        <w:tc>
          <w:tcPr>
            <w:tcW w:type="dxa" w:w="2880"/>
          </w:tcPr>
          <w:p>
            <w:r>
              <w:t>Room and tax only</w:t>
            </w:r>
          </w:p>
        </w:tc>
      </w:tr>
      <w:tr>
        <w:tc>
          <w:tcPr>
            <w:tcW w:type="dxa" w:w="2880"/>
          </w:tcPr>
          <w:p>
            <w:r>
              <w:t>Hotel, high-cost city</w:t>
            </w:r>
          </w:p>
        </w:tc>
        <w:tc>
          <w:tcPr>
            <w:tcW w:type="dxa" w:w="2880"/>
          </w:tcPr>
          <w:p>
            <w:r>
              <w:t>$320 per night</w:t>
            </w:r>
          </w:p>
        </w:tc>
        <w:tc>
          <w:tcPr>
            <w:tcW w:type="dxa" w:w="2880"/>
          </w:tcPr>
          <w:p>
            <w:r>
              <w:t>See section 2.1</w:t>
            </w:r>
          </w:p>
        </w:tc>
      </w:tr>
      <w:tr>
        <w:tc>
          <w:tcPr>
            <w:tcW w:type="dxa" w:w="2880"/>
          </w:tcPr>
          <w:p>
            <w:r>
              <w:t>Client entertainment</w:t>
            </w:r>
          </w:p>
        </w:tc>
        <w:tc>
          <w:tcPr>
            <w:tcW w:type="dxa" w:w="2880"/>
          </w:tcPr>
          <w:p>
            <w:r>
              <w:t>$75 per head</w:t>
            </w:r>
          </w:p>
        </w:tc>
        <w:tc>
          <w:tcPr>
            <w:tcW w:type="dxa" w:w="2880"/>
          </w:tcPr>
          <w:p>
            <w:r>
              <w:t>Approval required, see section 5</w:t>
            </w:r>
          </w:p>
        </w:tc>
      </w:tr>
      <w:tr>
        <w:tc>
          <w:tcPr>
            <w:tcW w:type="dxa" w:w="2880"/>
          </w:tcPr>
          <w:p>
            <w:r>
              <w:t>Team meal</w:t>
            </w:r>
          </w:p>
        </w:tc>
        <w:tc>
          <w:tcPr>
            <w:tcW w:type="dxa" w:w="2880"/>
          </w:tcPr>
          <w:p>
            <w:r>
              <w:t>$60 per head</w:t>
            </w:r>
          </w:p>
        </w:tc>
        <w:tc>
          <w:tcPr>
            <w:tcW w:type="dxa" w:w="2880"/>
          </w:tcPr>
          <w:p>
            <w:r>
              <w:t>Manager approval, twice per year</w:t>
            </w:r>
          </w:p>
        </w:tc>
      </w:tr>
      <w:tr>
        <w:tc>
          <w:tcPr>
            <w:tcW w:type="dxa" w:w="2880"/>
          </w:tcPr>
          <w:p>
            <w:r>
              <w:t>Mileage, own vehicle</w:t>
            </w:r>
          </w:p>
        </w:tc>
        <w:tc>
          <w:tcPr>
            <w:tcW w:type="dxa" w:w="2880"/>
          </w:tcPr>
          <w:p>
            <w:r>
              <w:t>$0.58 per mile</w:t>
            </w:r>
          </w:p>
        </w:tc>
        <w:tc>
          <w:tcPr>
            <w:tcW w:type="dxa" w:w="2880"/>
          </w:tcPr>
          <w:p>
            <w:r>
              <w:t>Covers fuel, wear and insurance</w:t>
            </w:r>
          </w:p>
        </w:tc>
      </w:tr>
      <w:tr>
        <w:tc>
          <w:tcPr>
            <w:tcW w:type="dxa" w:w="2880"/>
          </w:tcPr>
          <w:p>
            <w:r>
              <w:t>Taxi or ride share</w:t>
            </w:r>
          </w:p>
        </w:tc>
        <w:tc>
          <w:tcPr>
            <w:tcW w:type="dxa" w:w="2880"/>
          </w:tcPr>
          <w:p>
            <w:r>
              <w:t>Actual</w:t>
            </w:r>
          </w:p>
        </w:tc>
        <w:tc>
          <w:tcPr>
            <w:tcW w:type="dxa" w:w="2880"/>
          </w:tcPr>
          <w:p>
            <w:r>
              <w:t>Where public transport is impractical</w:t>
            </w:r>
          </w:p>
        </w:tc>
      </w:tr>
      <w:tr>
        <w:tc>
          <w:tcPr>
            <w:tcW w:type="dxa" w:w="2880"/>
          </w:tcPr>
          <w:p>
            <w:r>
              <w:t>Home internet contribution</w:t>
            </w:r>
          </w:p>
        </w:tc>
        <w:tc>
          <w:tcPr>
            <w:tcW w:type="dxa" w:w="2880"/>
          </w:tcPr>
          <w:p>
            <w:r>
              <w:t>$40 per month</w:t>
            </w:r>
          </w:p>
        </w:tc>
        <w:tc>
          <w:tcPr>
            <w:tcW w:type="dxa" w:w="2880"/>
          </w:tcPr>
          <w:p>
            <w:r>
              <w:t>Fully remote employees only</w:t>
            </w:r>
          </w:p>
        </w:tc>
      </w:tr>
    </w:tbl>
    <w:p>
      <w:pPr>
        <w:pStyle w:val="Heading2"/>
      </w:pPr>
      <w:r>
        <w:t>2.1 High-cost cities</w:t>
      </w:r>
    </w:p>
    <w:p>
      <w:r>
        <w:t>New York, San Francisco, Boston, Chicago, Seattle, London, Zurich, Tokyo and Singapore attract the higher accommodation limit. The list is reviewed each April.</w:t>
      </w:r>
    </w:p>
    <w:p>
      <w:pPr>
        <w:pStyle w:val="Heading2"/>
      </w:pPr>
      <w:r>
        <w:t>2.2 Exceeding a limit</w:t>
      </w:r>
    </w:p>
    <w:p>
      <w:r>
        <w:t>Occasionally exceeding a limit is acceptable where the circumstances justify it — a conference hotel with no cheaper option nearby, for instance. Note the reason on the claim. A claim over a limit with no explanation is returned rather than declined, and returned claims delay payment by a cycle.</w:t>
      </w:r>
    </w:p>
    <w:p>
      <w:pPr>
        <w:pStyle w:val="Heading1"/>
      </w:pPr>
      <w:r>
        <w:t>3. Travel booking</w:t>
      </w:r>
    </w:p>
    <w:p>
      <w:pPr>
        <w:pStyle w:val="Heading2"/>
      </w:pPr>
      <w:r>
        <w:t>3.1 Air travel</w:t>
      </w:r>
    </w:p>
    <w:p>
      <w:r>
        <w:t>Book through the Zuqah Technologies travel portal. Economy is the standard for all flights under 6 hours of scheduled flying time.</w:t>
      </w:r>
    </w:p>
    <w:p>
      <w:r>
        <w:t>Premium economy may be booked for flights over 6 hours. Business class requires approval from a practice lead and is normally reserved for flights over 9 hours where the traveller works the following day.</w:t>
      </w:r>
    </w:p>
    <w:p>
      <w:r>
        <w:t>Flights should be booked at least 14 days in advance where the dates are known. Bookings inside 7 days require a note explaining why.</w:t>
      </w:r>
    </w:p>
    <w:p>
      <w:pPr>
        <w:pStyle w:val="Heading2"/>
      </w:pPr>
      <w:r>
        <w:t>3.2 Rail</w:t>
      </w:r>
    </w:p>
    <w:p>
      <w:r>
        <w:t>Standard class for journeys under 3 hours; first class is permitted above that where it is cheaper than the flexible standard fare, which it frequently is.</w:t>
      </w:r>
    </w:p>
    <w:p>
      <w:pPr>
        <w:pStyle w:val="Heading2"/>
      </w:pPr>
      <w:r>
        <w:t>3.3 Accommodation</w:t>
      </w:r>
    </w:p>
    <w:p>
      <w:r>
        <w:t>Book through the travel portal, which holds negotiated rates. Booking outside the portal is permitted where it is demonstrably cheaper — note the comparison on the claim.</w:t>
      </w:r>
    </w:p>
    <w:p>
      <w:pPr>
        <w:pStyle w:val="Heading2"/>
      </w:pPr>
      <w:r>
        <w:t>3.4 Car hire</w:t>
      </w:r>
    </w:p>
    <w:p>
      <w:r>
        <w:t>Compact or intermediate class. Decline the rental company's insurance; Zuqah Technologies's corporate policy covers it. Refuel before returning, as prepaid fuel is consistently more expensive.</w:t>
      </w:r>
    </w:p>
    <w:p>
      <w:pPr>
        <w:pStyle w:val="Heading1"/>
      </w:pPr>
      <w:r>
        <w:t>4. Making a claim</w:t>
      </w:r>
    </w:p>
    <w:p>
      <w:pPr>
        <w:pStyle w:val="ListBullet"/>
      </w:pPr>
      <w:r>
        <w:t>1. Submit in the expense portal within 30 days of the expense being incurred.</w:t>
      </w:r>
    </w:p>
    <w:p>
      <w:pPr>
        <w:pStyle w:val="ListBullet"/>
      </w:pPr>
      <w:r>
        <w:t>2. Attach a receipt for anything over $25. A card statement is not a receipt.</w:t>
      </w:r>
    </w:p>
    <w:p>
      <w:pPr>
        <w:pStyle w:val="ListBullet"/>
      </w:pPr>
      <w:r>
        <w:t>3. Select the client and engagement code where the cost is billable.</w:t>
      </w:r>
    </w:p>
    <w:p>
      <w:pPr>
        <w:pStyle w:val="ListBullet"/>
      </w:pPr>
      <w:r>
        <w:t>4. Your manager approves within 5 business days.</w:t>
      </w:r>
    </w:p>
    <w:p>
      <w:r>
        <w:t>Payment is made in the next payroll run following approval. Claims submitted after 30 days require an explanation and are paid at Finance Operations' discretion; claims after 90 days are not paid.</w:t>
      </w:r>
    </w:p>
    <w:p>
      <w:pPr>
        <w:pStyle w:val="Heading1"/>
      </w:pPr>
      <w:r>
        <w:t>5. Client entertainment</w:t>
      </w:r>
    </w:p>
    <w:p>
      <w:r>
        <w:t>Entertaining a client requires prior approval from a practice lead. The claim must record who attended, their organisation, and the business purpose.</w:t>
      </w:r>
    </w:p>
    <w:p>
      <w:r>
        <w:t>The following are never reimbursable, regardless of approval: anything that could reasonably be perceived as inducement, gifts of cash or equivalent, and entertainment at venues inappropriate to a professional setting. See the Code of Conduct.</w:t>
      </w:r>
    </w:p>
    <w:p>
      <w:r>
        <w:t>Where a client's own policy restricts what its staff may accept, that policy governs. Ask before booking.</w:t>
      </w:r>
    </w:p>
    <w:p>
      <w:pPr>
        <w:pStyle w:val="Heading1"/>
      </w:pPr>
      <w:r>
        <w:t>6. What is not reimbursable</w:t>
      </w:r>
    </w:p>
    <w:p>
      <w:pPr>
        <w:pStyle w:val="ListBullet"/>
      </w:pPr>
      <w:r>
        <w:t>Personal travel attached to a business trip, including the additional</w:t>
      </w:r>
    </w:p>
    <w:p>
      <w:r>
        <w:t>accommodation and any change in airfare</w:t>
      </w:r>
    </w:p>
    <w:p>
      <w:pPr>
        <w:pStyle w:val="ListBullet"/>
      </w:pPr>
      <w:r>
        <w:t>Fines, penalties and parking tickets</w:t>
      </w:r>
    </w:p>
    <w:p>
      <w:pPr>
        <w:pStyle w:val="ListBullet"/>
      </w:pPr>
      <w:r>
        <w:t>Airport lounge access, unless a delay exceeds 3 hours</w:t>
      </w:r>
    </w:p>
    <w:p>
      <w:pPr>
        <w:pStyle w:val="ListBullet"/>
      </w:pPr>
      <w:r>
        <w:t>Seat selection, priority boarding and speedy boarding fees</w:t>
      </w:r>
    </w:p>
    <w:p>
      <w:pPr>
        <w:pStyle w:val="ListBullet"/>
      </w:pPr>
      <w:r>
        <w:t>In-flight internet on flights under 4 hours</w:t>
      </w:r>
    </w:p>
    <w:p>
      <w:pPr>
        <w:pStyle w:val="ListBullet"/>
      </w:pPr>
      <w:r>
        <w:t>Mini-bar</w:t>
      </w:r>
    </w:p>
    <w:p>
      <w:pPr>
        <w:pStyle w:val="ListBullet"/>
      </w:pPr>
      <w:r>
        <w:t>Personal items — clothing, toiletries, medication — except where baggage has</w:t>
      </w:r>
    </w:p>
    <w:p>
      <w:r>
        <w:t>been delayed by a carrier for more than 24 hours, up to $150</w:t>
      </w:r>
    </w:p>
    <w:p>
      <w:pPr>
        <w:pStyle w:val="ListBullet"/>
      </w:pPr>
      <w:r>
        <w:t>Travel insurance purchased separately; Zuqah Technologies provides corporate cover</w:t>
      </w:r>
    </w:p>
    <w:p>
      <w:pPr>
        <w:pStyle w:val="Heading1"/>
      </w:pPr>
      <w:r>
        <w:t>7. Working from a different location</w:t>
      </w:r>
    </w:p>
    <w:p>
      <w:r>
        <w:t>Working from a location other than your usual one for personal reasons is not business travel and no costs are reimbursable. Employees intending to work from another country for more than 10 working days must notify People Operations in advance, as there may be tax and immigration consequences. See also the Remote Access and VPN Policy on connecting from outside approved countries.</w:t>
      </w:r>
    </w:p>
    <w:p>
      <w:pPr>
        <w:pStyle w:val="Heading1"/>
      </w:pPr>
      <w:r>
        <w:t>8. Audit</w:t>
      </w:r>
    </w:p>
    <w:p>
      <w:r>
        <w:t>A sample of claims is audited each month. Deliberately submitting a claim that is not genuine is treated as a disciplinary matter under the Code of Conduct.</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