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Flexible Working Arrangements Policy</w:t>
      </w:r>
    </w:p>
    <w:p>
      <w:r>
        <w:rPr>
          <w:color w:val="64748B"/>
          <w:sz w:val="17"/>
        </w:rPr>
        <w:t>Version 1.0  |  Owner: People Operations  |  Effective 2026-01-01  |  Next review 2027-01-01</w:t>
      </w:r>
    </w:p>
    <w:p>
      <w:pPr>
        <w:pStyle w:val="Heading1"/>
      </w:pPr>
      <w:r>
        <w:t>1. Purpose</w:t>
      </w:r>
    </w:p>
    <w:p>
      <w:r>
        <w:t>Zuqah Technologies recognises that a one-size-fits-all approach to working hours and location does not serve all employees equally well. This policy sets out the flexible working options available, how to request them and how requests are assessed.</w:t>
      </w:r>
    </w:p>
    <w:p>
      <w:pPr>
        <w:pStyle w:val="Heading1"/>
      </w:pPr>
      <w:r>
        <w:t>2. Default working arrangement</w:t>
      </w:r>
    </w:p>
    <w:p>
      <w:r>
        <w:t>The default working arrangement at Zuqah Technologies is:</w:t>
      </w:r>
    </w:p>
    <w:tbl>
      <w:tblPr>
        <w:tblStyle w:val="LightGrid-Accent1"/>
        <w:tblW w:type="auto" w:w="0"/>
        <w:tblLook w:firstColumn="1" w:firstRow="1" w:lastColumn="0" w:lastRow="0" w:noHBand="0" w:noVBand="1" w:val="04A0"/>
      </w:tblPr>
      <w:tblGrid>
        <w:gridCol w:w="4320"/>
        <w:gridCol w:w="4320"/>
      </w:tblGrid>
      <w:tr>
        <w:tc>
          <w:tcPr>
            <w:tcW w:type="dxa" w:w="4320"/>
          </w:tcPr>
          <w:p>
            <w:r/>
          </w:p>
        </w:tc>
        <w:tc>
          <w:tcPr>
            <w:tcW w:type="dxa" w:w="4320"/>
          </w:tcPr>
          <w:p>
            <w:r/>
          </w:p>
        </w:tc>
      </w:tr>
      <w:tr>
        <w:tc>
          <w:tcPr>
            <w:tcW w:type="dxa" w:w="4320"/>
          </w:tcPr>
          <w:p>
            <w:r>
              <w:t>Hours</w:t>
            </w:r>
          </w:p>
        </w:tc>
        <w:tc>
          <w:tcPr>
            <w:tcW w:type="dxa" w:w="4320"/>
          </w:tcPr>
          <w:p>
            <w:r>
              <w:t>40 hours per week (8 hours per day)</w:t>
            </w:r>
          </w:p>
        </w:tc>
      </w:tr>
      <w:tr>
        <w:tc>
          <w:tcPr>
            <w:tcW w:type="dxa" w:w="4320"/>
          </w:tcPr>
          <w:p>
            <w:r>
              <w:t>Core hours</w:t>
            </w:r>
          </w:p>
        </w:tc>
        <w:tc>
          <w:tcPr>
            <w:tcW w:type="dxa" w:w="4320"/>
          </w:tcPr>
          <w:p>
            <w:r>
              <w:t>10:00 AM – 5:00 PM (IST), Monday to Friday</w:t>
            </w:r>
          </w:p>
        </w:tc>
      </w:tr>
      <w:tr>
        <w:tc>
          <w:tcPr>
            <w:tcW w:type="dxa" w:w="4320"/>
          </w:tcPr>
          <w:p>
            <w:r>
              <w:t>Location</w:t>
            </w:r>
          </w:p>
        </w:tc>
        <w:tc>
          <w:tcPr>
            <w:tcW w:type="dxa" w:w="4320"/>
          </w:tcPr>
          <w:p>
            <w:r>
              <w:t>Hybrid — at least 3 days per week in office for most roles</w:t>
            </w:r>
          </w:p>
        </w:tc>
      </w:tr>
    </w:tbl>
    <w:p>
      <w:r>
        <w:t>Core hours are the window when employees are expected to be reachable and available for meetings, regardless of any flexible arrangement.</w:t>
      </w:r>
    </w:p>
    <w:p>
      <w:pPr>
        <w:pStyle w:val="Heading1"/>
      </w:pPr>
      <w:r>
        <w:t>3. Types of flexible working</w:t>
      </w:r>
    </w:p>
    <w:p>
      <w:pPr>
        <w:pStyle w:val="Heading2"/>
      </w:pPr>
      <w:r>
        <w:t>3.1 Flexible start and end times</w:t>
      </w:r>
    </w:p>
    <w:p>
      <w:r>
        <w:t>Employees may shift their start and end times outside the default (typically 9:00 AM – 6:00 PM) provided:</w:t>
      </w:r>
    </w:p>
    <w:p>
      <w:pPr>
        <w:pStyle w:val="ListBullet"/>
      </w:pPr>
      <w:r>
        <w:t>Core hours (10:00 AM – 5:00 PM) are always covered</w:t>
      </w:r>
    </w:p>
    <w:p>
      <w:pPr>
        <w:pStyle w:val="ListBullet"/>
      </w:pPr>
      <w:r>
        <w:t>Total daily hours remain 8</w:t>
      </w:r>
    </w:p>
    <w:p>
      <w:pPr>
        <w:pStyle w:val="ListBullet"/>
      </w:pPr>
      <w:r>
        <w:t>The arrangement is agreed with the manager</w:t>
      </w:r>
    </w:p>
    <w:p>
      <w:r>
        <w:t>Example: 7:30 AM – 4:30 PM, or 10:00 AM – 7:00 PM.</w:t>
      </w:r>
    </w:p>
    <w:p>
      <w:pPr>
        <w:pStyle w:val="Heading2"/>
      </w:pPr>
      <w:r>
        <w:t>3.2 Compressed work week</w:t>
      </w:r>
    </w:p>
    <w:p>
      <w:r>
        <w:t>An employee may work their full weekly hours across 4 days instead of 5, resulting in one day off per week. This requires manager approval and is subject to the team's operational needs.</w:t>
      </w:r>
    </w:p>
    <w:p>
      <w:pPr>
        <w:pStyle w:val="Heading2"/>
      </w:pPr>
      <w:r>
        <w:t>3.3 Reduced hours (part-time)</w:t>
      </w:r>
    </w:p>
    <w:p>
      <w:r>
        <w:t>An employee may request a reduction in contracted hours (e.g., to 30 or 32 hours per week). This is treated as a contract variation and adjusts salary and benefits pro rata. Approval requires sign-off from the manager and People Operations.</w:t>
      </w:r>
    </w:p>
    <w:p>
      <w:pPr>
        <w:pStyle w:val="Heading2"/>
      </w:pPr>
      <w:r>
        <w:t>3.4 Additional remote working days</w:t>
      </w:r>
    </w:p>
    <w:p>
      <w:r>
        <w:t>Employees who wish to work more than the default number of remote days may request an arrangement of up to fully remote, subject to role requirements. Roles that are designated "office essential" (e.g., requiring physical presence for lab, reception or client-facing duties) are not eligible for full remote arrangements.</w:t>
      </w:r>
    </w:p>
    <w:p>
      <w:pPr>
        <w:pStyle w:val="Heading2"/>
      </w:pPr>
      <w:r>
        <w:t>3.5 Shift in working week</w:t>
      </w:r>
    </w:p>
    <w:p>
      <w:r>
        <w:t>Employees may request a variation in their working days — for example, working Tuesday to Saturday instead of Monday to Friday — subject to team and business needs.</w:t>
      </w:r>
    </w:p>
    <w:p>
      <w:pPr>
        <w:pStyle w:val="Heading1"/>
      </w:pPr>
      <w:r>
        <w:t>4. Who can request</w:t>
      </w:r>
    </w:p>
    <w:p>
      <w:r>
        <w:t>All permanent employees are eligible to request a flexible working arrangement. There is no minimum length of service required, although requests made during the probation period will be considered in light of the employee's ability to complete their onboarding effectively.</w:t>
      </w:r>
    </w:p>
    <w:p>
      <w:r>
        <w:t>Employees returning from maternity, paternity or adoption leave may make a flexible working request under this policy; these requests receive particular consideration.</w:t>
      </w:r>
    </w:p>
    <w:p>
      <w:pPr>
        <w:pStyle w:val="Heading1"/>
      </w:pPr>
      <w:r>
        <w:t>5. How to request</w:t>
      </w:r>
    </w:p>
    <w:p>
      <w:pPr>
        <w:pStyle w:val="Heading2"/>
      </w:pPr>
      <w:r>
        <w:t>5.1 Informal arrangement</w:t>
      </w:r>
    </w:p>
    <w:p>
      <w:r>
        <w:t>For minor adjustments (e.g., a 30-minute shift in start time), the employee can agree this informally with their manager without a formal request.</w:t>
      </w:r>
    </w:p>
    <w:p>
      <w:pPr>
        <w:pStyle w:val="Heading2"/>
      </w:pPr>
      <w:r>
        <w:t>5.2 Formal request</w:t>
      </w:r>
    </w:p>
    <w:p>
      <w:r>
        <w:t>For significant or permanent changes, the employee submits a formal request through the HR portal under My Requests → Flexible Working. The request should include:</w:t>
      </w:r>
    </w:p>
    <w:p>
      <w:pPr>
        <w:pStyle w:val="ListBullet"/>
      </w:pPr>
      <w:r>
        <w:t>The type of arrangement requested</w:t>
      </w:r>
    </w:p>
    <w:p>
      <w:pPr>
        <w:pStyle w:val="ListBullet"/>
      </w:pPr>
      <w:r>
        <w:t>The proposed start date</w:t>
      </w:r>
    </w:p>
    <w:p>
      <w:pPr>
        <w:pStyle w:val="ListBullet"/>
      </w:pPr>
      <w:r>
        <w:t>How the arrangement will affect the employee's work</w:t>
      </w:r>
    </w:p>
    <w:p>
      <w:pPr>
        <w:pStyle w:val="ListBullet"/>
      </w:pPr>
      <w:r>
        <w:t>How the impact on colleagues and the business will be managed</w:t>
      </w:r>
    </w:p>
    <w:p>
      <w:pPr>
        <w:pStyle w:val="Heading2"/>
      </w:pPr>
      <w:r>
        <w:t>5.3 Timeline</w:t>
      </w:r>
    </w:p>
    <w:tbl>
      <w:tblPr>
        <w:tblStyle w:val="LightGrid-Accent1"/>
        <w:tblW w:type="auto" w:w="0"/>
        <w:tblLook w:firstColumn="1" w:firstRow="1" w:lastColumn="0" w:lastRow="0" w:noHBand="0" w:noVBand="1" w:val="04A0"/>
      </w:tblPr>
      <w:tblGrid>
        <w:gridCol w:w="4320"/>
        <w:gridCol w:w="4320"/>
      </w:tblGrid>
      <w:tr>
        <w:tc>
          <w:tcPr>
            <w:tcW w:type="dxa" w:w="4320"/>
          </w:tcPr>
          <w:p>
            <w:r>
              <w:t>Step</w:t>
            </w:r>
          </w:p>
        </w:tc>
        <w:tc>
          <w:tcPr>
            <w:tcW w:type="dxa" w:w="4320"/>
          </w:tcPr>
          <w:p>
            <w:r>
              <w:t>Timeline</w:t>
            </w:r>
          </w:p>
        </w:tc>
      </w:tr>
      <w:tr>
        <w:tc>
          <w:tcPr>
            <w:tcW w:type="dxa" w:w="4320"/>
          </w:tcPr>
          <w:p>
            <w:r>
              <w:t>Acknowledge request</w:t>
            </w:r>
          </w:p>
        </w:tc>
        <w:tc>
          <w:tcPr>
            <w:tcW w:type="dxa" w:w="4320"/>
          </w:tcPr>
          <w:p>
            <w:r>
              <w:t>Within 3 working days</w:t>
            </w:r>
          </w:p>
        </w:tc>
      </w:tr>
      <w:tr>
        <w:tc>
          <w:tcPr>
            <w:tcW w:type="dxa" w:w="4320"/>
          </w:tcPr>
          <w:p>
            <w:r>
              <w:t>Meeting to discuss</w:t>
            </w:r>
          </w:p>
        </w:tc>
        <w:tc>
          <w:tcPr>
            <w:tcW w:type="dxa" w:w="4320"/>
          </w:tcPr>
          <w:p>
            <w:r>
              <w:t>Within 10 working days</w:t>
            </w:r>
          </w:p>
        </w:tc>
      </w:tr>
      <w:tr>
        <w:tc>
          <w:tcPr>
            <w:tcW w:type="dxa" w:w="4320"/>
          </w:tcPr>
          <w:p>
            <w:r>
              <w:t>Written decision</w:t>
            </w:r>
          </w:p>
        </w:tc>
        <w:tc>
          <w:tcPr>
            <w:tcW w:type="dxa" w:w="4320"/>
          </w:tcPr>
          <w:p>
            <w:r>
              <w:t>Within 5 working days of meeting</w:t>
            </w:r>
          </w:p>
        </w:tc>
      </w:tr>
      <w:tr>
        <w:tc>
          <w:tcPr>
            <w:tcW w:type="dxa" w:w="4320"/>
          </w:tcPr>
          <w:p>
            <w:r>
              <w:t>Appeal (if declined)</w:t>
            </w:r>
          </w:p>
        </w:tc>
        <w:tc>
          <w:tcPr>
            <w:tcW w:type="dxa" w:w="4320"/>
          </w:tcPr>
          <w:p>
            <w:r>
              <w:t>Within 5 working days of decision</w:t>
            </w:r>
          </w:p>
        </w:tc>
      </w:tr>
    </w:tbl>
    <w:p>
      <w:pPr>
        <w:pStyle w:val="Heading1"/>
      </w:pPr>
      <w:r>
        <w:t>6. How requests are assessed</w:t>
      </w:r>
    </w:p>
    <w:p>
      <w:r>
        <w:t>Requests are assessed based on:</w:t>
      </w:r>
    </w:p>
    <w:p>
      <w:pPr>
        <w:pStyle w:val="ListBullet"/>
      </w:pPr>
      <w:r>
        <w:t>Operational impact: Can the team function effectively with this arrangement?</w:t>
      </w:r>
    </w:p>
    <w:p>
      <w:pPr>
        <w:pStyle w:val="ListBullet"/>
      </w:pPr>
      <w:r>
        <w:t>Role requirements: Does the role require physical presence or specific hours?</w:t>
      </w:r>
    </w:p>
    <w:p>
      <w:pPr>
        <w:pStyle w:val="ListBullet"/>
      </w:pPr>
      <w:r>
        <w:t>Precedent: Has a similar arrangement been agreed with others in comparable roles?</w:t>
      </w:r>
    </w:p>
    <w:p>
      <w:pPr>
        <w:pStyle w:val="ListBullet"/>
      </w:pPr>
      <w:r>
        <w:t>Performance: Is the employee's current performance consistent with the additional trust that flexible arrangements require?</w:t>
      </w:r>
    </w:p>
    <w:p>
      <w:r>
        <w:t>A request may be declined on business grounds. The reason will be stated in writing. Flexible working requests may not be declined on discriminatory grounds (e.g., a request from a mother for reduced hours cannot be declined on the basis that fathers do not make similar requests).</w:t>
      </w:r>
    </w:p>
    <w:p>
      <w:pPr>
        <w:pStyle w:val="Heading1"/>
      </w:pPr>
      <w:r>
        <w:t>7. Trial period</w:t>
      </w:r>
    </w:p>
    <w:p>
      <w:r>
        <w:t>Where the impact of an arrangement is uncertain, Zuqah Technologies may agree to a 3-month trial before making the arrangement permanent. The trial will be reviewed at the end of the period with a view to making the arrangement permanent if it is working well.</w:t>
      </w:r>
    </w:p>
    <w:p>
      <w:pPr>
        <w:pStyle w:val="Heading1"/>
      </w:pPr>
      <w:r>
        <w:t>8. Review and withdrawal</w:t>
      </w:r>
    </w:p>
    <w:p>
      <w:r>
        <w:t>Flexible arrangements are subject to periodic review. Either party may request a review with 4 weeks' notice. Where business circumstances change significantly (e.g., a major project requiring full office presence), Zuqah Technologies may vary the arrangement with 4 weeks' notice.</w:t>
      </w:r>
    </w:p>
    <w:p>
      <w:pPr>
        <w:pStyle w:val="Heading1"/>
      </w:pPr>
      <w:r>
        <w:t>9. Maintaining performance on a flexible arrangement</w:t>
      </w:r>
    </w:p>
    <w:p>
      <w:r>
        <w:t>Flexible working is based on mutual trust. The employee is responsible for:</w:t>
      </w:r>
    </w:p>
    <w:p>
      <w:pPr>
        <w:pStyle w:val="ListBullet"/>
      </w:pPr>
      <w:r>
        <w:t>Being available during core hours</w:t>
      </w:r>
    </w:p>
    <w:p>
      <w:pPr>
        <w:pStyle w:val="ListBullet"/>
      </w:pPr>
      <w:r>
        <w:t>Meeting all deadlines and deliverables as they would on a standard arrangement</w:t>
      </w:r>
    </w:p>
    <w:p>
      <w:pPr>
        <w:pStyle w:val="ListBullet"/>
      </w:pPr>
      <w:r>
        <w:t>Communicating proactively with their manager and team</w:t>
      </w:r>
    </w:p>
    <w:p>
      <w:pPr>
        <w:pStyle w:val="ListBullet"/>
      </w:pPr>
      <w:r>
        <w:t>Attending all required meetings, adapting their schedule on those days if needed</w:t>
      </w:r>
    </w:p>
    <w:p>
      <w:r>
        <w:t>A flexible arrangement may be withdrawn if performance deteriorates in a way that is connected to the arrangement.</w:t>
      </w:r>
    </w:p>
    <w:p>
      <w:pPr>
        <w:pStyle w:val="Heading1"/>
      </w:pPr>
      <w:r>
        <w:t>10. Overtime and additional hours</w:t>
      </w:r>
    </w:p>
    <w:p>
      <w:r>
        <w:t>Flexible arrangements do not affect the employee's contracted hours. Working additional hours beyond contracted hours on a flexible arrangement does not automatically attract additional pay unless authorised in advance by the manager as paid overtime.</w:t>
      </w:r>
    </w:p>
    <w:p>
      <w:r>
        <w:rPr>
          <w:i/>
          <w:color w:val="94A3B8"/>
          <w:sz w:val="16"/>
        </w:rPr>
        <w:t>Sample content for demonstration purposes. Zuqah Technologies is a fictional company and this document describes no real organisation's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