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Health, Safety and Ergonomics Policy</w:t>
      </w:r>
    </w:p>
    <w:p>
      <w:r>
        <w:rPr>
          <w:color w:val="64748B"/>
          <w:sz w:val="17"/>
        </w:rPr>
        <w:t>Version 1.0  |  Owner: People Operations  |  Effective 2026-01-01  |  Next review 2027-01-01</w:t>
      </w:r>
    </w:p>
    <w:p>
      <w:pPr>
        <w:pStyle w:val="Heading1"/>
      </w:pPr>
      <w:r>
        <w:t>1. Purpose</w:t>
      </w:r>
    </w:p>
    <w:p>
      <w:r>
        <w:t>Zuqah Technologies is committed to providing a safe, healthy and ergonomic working environment for all employees, whether working from the office or from home. This policy sets out the company's responsibilities and those of employees.</w:t>
      </w:r>
    </w:p>
    <w:p>
      <w:pPr>
        <w:pStyle w:val="Heading1"/>
      </w:pPr>
      <w:r>
        <w:t>2. Office safety</w:t>
      </w:r>
    </w:p>
    <w:p>
      <w:pPr>
        <w:pStyle w:val="Heading2"/>
      </w:pPr>
      <w:r>
        <w:t>2.1 General obligations</w:t>
      </w:r>
    </w:p>
    <w:p>
      <w:r>
        <w:t>Zuqah Technologies will:</w:t>
      </w:r>
    </w:p>
    <w:p>
      <w:pPr>
        <w:pStyle w:val="ListBullet"/>
      </w:pPr>
      <w:r>
        <w:t>Maintain office premises in a safe condition, including emergency exits,</w:t>
      </w:r>
    </w:p>
    <w:p>
      <w:r>
        <w:t>fire suppression equipment and first aid kits</w:t>
      </w:r>
    </w:p>
    <w:p>
      <w:pPr>
        <w:pStyle w:val="ListBullet"/>
      </w:pPr>
      <w:r>
        <w:t>Conduct a formal safety inspection of office premises at least once per year</w:t>
      </w:r>
    </w:p>
    <w:p>
      <w:pPr>
        <w:pStyle w:val="ListBullet"/>
      </w:pPr>
      <w:r>
        <w:t>Ensure emergency procedures are posted visibly throughout the office</w:t>
      </w:r>
    </w:p>
    <w:p>
      <w:pPr>
        <w:pStyle w:val="ListBullet"/>
      </w:pPr>
      <w:r>
        <w:t>Appoint at least one trained First Aider per floor or per 25 employees,</w:t>
      </w:r>
    </w:p>
    <w:p>
      <w:r>
        <w:t>whichever results in more First Aiders</w:t>
      </w:r>
    </w:p>
    <w:p>
      <w:pPr>
        <w:pStyle w:val="ListBullet"/>
      </w:pPr>
      <w:r>
        <w:t>Conduct fire drills at least twice per year</w:t>
      </w:r>
    </w:p>
    <w:p>
      <w:r>
        <w:t>Employees must:</w:t>
      </w:r>
    </w:p>
    <w:p>
      <w:pPr>
        <w:pStyle w:val="ListBullet"/>
      </w:pPr>
      <w:r>
        <w:t>Familiarise themselves with emergency exits and assembly points on joining</w:t>
      </w:r>
    </w:p>
    <w:p>
      <w:pPr>
        <w:pStyle w:val="ListBullet"/>
      </w:pPr>
      <w:r>
        <w:t>Not obstruct emergency exits or fire equipment</w:t>
      </w:r>
    </w:p>
    <w:p>
      <w:pPr>
        <w:pStyle w:val="ListBullet"/>
      </w:pPr>
      <w:r>
        <w:t>Report unsafe conditions (broken equipment, spills, electrical hazards)</w:t>
      </w:r>
    </w:p>
    <w:p>
      <w:r>
        <w:t>to the Facilities team at facilities@zuqahtechnologies.com</w:t>
      </w:r>
    </w:p>
    <w:p>
      <w:pPr>
        <w:pStyle w:val="Heading2"/>
      </w:pPr>
      <w:r>
        <w:t>2.2 Fire emergency</w:t>
      </w:r>
    </w:p>
    <w:p>
      <w:r>
        <w:t>In the event of a fire alarm:</w:t>
      </w:r>
    </w:p>
    <w:p>
      <w:pPr>
        <w:pStyle w:val="ListBullet"/>
      </w:pPr>
      <w:r>
        <w:t>1. Stop work and exit the building immediately via the nearest emergency exit</w:t>
      </w:r>
    </w:p>
    <w:p>
      <w:pPr>
        <w:pStyle w:val="ListBullet"/>
      </w:pPr>
      <w:r>
        <w:t>2. Do not use lifts</w:t>
      </w:r>
    </w:p>
    <w:p>
      <w:pPr>
        <w:pStyle w:val="ListBullet"/>
      </w:pPr>
      <w:r>
        <w:t>3. Proceed to the designated assembly point (marked on each floor's emergency</w:t>
      </w:r>
    </w:p>
    <w:p>
      <w:r>
        <w:t>notice)</w:t>
      </w:r>
    </w:p>
    <w:p>
      <w:pPr>
        <w:pStyle w:val="ListBullet"/>
      </w:pPr>
      <w:r>
        <w:t>4. Do not re-enter the building until authorised by the fire service or the</w:t>
      </w:r>
    </w:p>
    <w:p>
      <w:r>
        <w:t>Facilities team</w:t>
      </w:r>
    </w:p>
    <w:p>
      <w:r>
        <w:t>If you discover a fire and it is safe to do so, raise the alarm before evacuating.</w:t>
      </w:r>
    </w:p>
    <w:p>
      <w:pPr>
        <w:pStyle w:val="Heading2"/>
      </w:pPr>
      <w:r>
        <w:t>2.3 First aid</w:t>
      </w:r>
    </w:p>
    <w:p>
      <w:r>
        <w:t>First Aid kits are located at reception and at the first aid station on each floor. The name and contact number of the First Aider on each floor is posted on the notice board and in the HR portal.</w:t>
      </w:r>
    </w:p>
    <w:p>
      <w:r>
        <w:t>For a medical emergency, call emergency services (112 in India) and then notify the First Aider and the Facilities team.</w:t>
      </w:r>
    </w:p>
    <w:p>
      <w:pPr>
        <w:pStyle w:val="Heading1"/>
      </w:pPr>
      <w:r>
        <w:t>3. Home office ergonomics</w:t>
      </w:r>
    </w:p>
    <w:p>
      <w:pPr>
        <w:pStyle w:val="Heading2"/>
      </w:pPr>
      <w:r>
        <w:t>3.1 Setting up your workspace</w:t>
      </w:r>
    </w:p>
    <w:p>
      <w:r>
        <w:t>Poor ergonomics cause musculoskeletal problems over time. Every employee working from home should set up their workspace with the following in mind:</w:t>
      </w:r>
    </w:p>
    <w:tbl>
      <w:tblPr>
        <w:tblStyle w:val="LightGrid-Accent1"/>
        <w:tblW w:type="auto" w:w="0"/>
        <w:tblLook w:firstColumn="1" w:firstRow="1" w:lastColumn="0" w:lastRow="0" w:noHBand="0" w:noVBand="1" w:val="04A0"/>
      </w:tblPr>
      <w:tblGrid>
        <w:gridCol w:w="4320"/>
        <w:gridCol w:w="4320"/>
      </w:tblGrid>
      <w:tr>
        <w:tc>
          <w:tcPr>
            <w:tcW w:type="dxa" w:w="4320"/>
          </w:tcPr>
          <w:p>
            <w:r>
              <w:t>Element</w:t>
            </w:r>
          </w:p>
        </w:tc>
        <w:tc>
          <w:tcPr>
            <w:tcW w:type="dxa" w:w="4320"/>
          </w:tcPr>
          <w:p>
            <w:r>
              <w:t>Guidance</w:t>
            </w:r>
          </w:p>
        </w:tc>
      </w:tr>
      <w:tr>
        <w:tc>
          <w:tcPr>
            <w:tcW w:type="dxa" w:w="4320"/>
          </w:tcPr>
          <w:p>
            <w:r>
              <w:t>Chair</w:t>
            </w:r>
          </w:p>
        </w:tc>
        <w:tc>
          <w:tcPr>
            <w:tcW w:type="dxa" w:w="4320"/>
          </w:tcPr>
          <w:p>
            <w:r>
              <w:t>Adjustable height; feet flat on the floor; back supported</w:t>
            </w:r>
          </w:p>
        </w:tc>
      </w:tr>
      <w:tr>
        <w:tc>
          <w:tcPr>
            <w:tcW w:type="dxa" w:w="4320"/>
          </w:tcPr>
          <w:p>
            <w:r>
              <w:t>Screen height</w:t>
            </w:r>
          </w:p>
        </w:tc>
        <w:tc>
          <w:tcPr>
            <w:tcW w:type="dxa" w:w="4320"/>
          </w:tcPr>
          <w:p>
            <w:r>
              <w:t>Top of screen at or just below eye level; 50–70 cm from eyes</w:t>
            </w:r>
          </w:p>
        </w:tc>
      </w:tr>
      <w:tr>
        <w:tc>
          <w:tcPr>
            <w:tcW w:type="dxa" w:w="4320"/>
          </w:tcPr>
          <w:p>
            <w:r>
              <w:t>Keyboard and mouse</w:t>
            </w:r>
          </w:p>
        </w:tc>
        <w:tc>
          <w:tcPr>
            <w:tcW w:type="dxa" w:w="4320"/>
          </w:tcPr>
          <w:p>
            <w:r>
              <w:t>Elbows at approximately 90° when typing; wrists neutral</w:t>
            </w:r>
          </w:p>
        </w:tc>
      </w:tr>
      <w:tr>
        <w:tc>
          <w:tcPr>
            <w:tcW w:type="dxa" w:w="4320"/>
          </w:tcPr>
          <w:p>
            <w:r>
              <w:t>Lighting</w:t>
            </w:r>
          </w:p>
        </w:tc>
        <w:tc>
          <w:tcPr>
            <w:tcW w:type="dxa" w:w="4320"/>
          </w:tcPr>
          <w:p>
            <w:r>
              <w:t>Natural light where possible; screen perpendicular to windows to avoid glare</w:t>
            </w:r>
          </w:p>
        </w:tc>
      </w:tr>
      <w:tr>
        <w:tc>
          <w:tcPr>
            <w:tcW w:type="dxa" w:w="4320"/>
          </w:tcPr>
          <w:p>
            <w:r>
              <w:t>Breaks</w:t>
            </w:r>
          </w:p>
        </w:tc>
        <w:tc>
          <w:tcPr>
            <w:tcW w:type="dxa" w:w="4320"/>
          </w:tcPr>
          <w:p>
            <w:r>
              <w:t>Take a 5-minute break every 45–60 minutes; stand, stretch, walk</w:t>
            </w:r>
          </w:p>
        </w:tc>
      </w:tr>
    </w:tbl>
    <w:p>
      <w:pPr>
        <w:pStyle w:val="Heading2"/>
      </w:pPr>
      <w:r>
        <w:t>3.2 Equipment for home working</w:t>
      </w:r>
    </w:p>
    <w:p>
      <w:r>
        <w:t>Employees who work from home regularly (3 or more days per week) may request the following equipment, funded by Zuqah Technologies:</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Maximum provision</w:t>
            </w:r>
          </w:p>
        </w:tc>
      </w:tr>
      <w:tr>
        <w:tc>
          <w:tcPr>
            <w:tcW w:type="dxa" w:w="4320"/>
          </w:tcPr>
          <w:p>
            <w:r>
              <w:t>External monitor</w:t>
            </w:r>
          </w:p>
        </w:tc>
        <w:tc>
          <w:tcPr>
            <w:tcW w:type="dxa" w:w="4320"/>
          </w:tcPr>
          <w:p>
            <w:r>
              <w:t>One monitor up to ₹15,000</w:t>
            </w:r>
          </w:p>
        </w:tc>
      </w:tr>
      <w:tr>
        <w:tc>
          <w:tcPr>
            <w:tcW w:type="dxa" w:w="4320"/>
          </w:tcPr>
          <w:p>
            <w:r>
              <w:t>Keyboard and mouse</w:t>
            </w:r>
          </w:p>
        </w:tc>
        <w:tc>
          <w:tcPr>
            <w:tcW w:type="dxa" w:w="4320"/>
          </w:tcPr>
          <w:p>
            <w:r>
              <w:t>One set up to ₹3,000</w:t>
            </w:r>
          </w:p>
        </w:tc>
      </w:tr>
      <w:tr>
        <w:tc>
          <w:tcPr>
            <w:tcW w:type="dxa" w:w="4320"/>
          </w:tcPr>
          <w:p>
            <w:r>
              <w:t>Laptop stand</w:t>
            </w:r>
          </w:p>
        </w:tc>
        <w:tc>
          <w:tcPr>
            <w:tcW w:type="dxa" w:w="4320"/>
          </w:tcPr>
          <w:p>
            <w:r>
              <w:t>One stand up to ₹2,000</w:t>
            </w:r>
          </w:p>
        </w:tc>
      </w:tr>
      <w:tr>
        <w:tc>
          <w:tcPr>
            <w:tcW w:type="dxa" w:w="4320"/>
          </w:tcPr>
          <w:p>
            <w:r>
              <w:t>Ergonomic chair</w:t>
            </w:r>
          </w:p>
        </w:tc>
        <w:tc>
          <w:tcPr>
            <w:tcW w:type="dxa" w:w="4320"/>
          </w:tcPr>
          <w:p>
            <w:r>
              <w:t>Up to ₹8,000 contribution towards cost</w:t>
            </w:r>
          </w:p>
        </w:tc>
      </w:tr>
      <w:tr>
        <w:tc>
          <w:tcPr>
            <w:tcW w:type="dxa" w:w="4320"/>
          </w:tcPr>
          <w:p>
            <w:r>
              <w:t>Headset</w:t>
            </w:r>
          </w:p>
        </w:tc>
        <w:tc>
          <w:tcPr>
            <w:tcW w:type="dxa" w:w="4320"/>
          </w:tcPr>
          <w:p>
            <w:r>
              <w:t>One headset up to ₹3,000</w:t>
            </w:r>
          </w:p>
        </w:tc>
      </w:tr>
    </w:tbl>
    <w:p>
      <w:r>
        <w:t>To request equipment, submit a request through the HR portal under Equipment → Home Office Request. Manager approval is required. Equipment funded by Zuqah Technologies remains company property and must be returned on departure.</w:t>
      </w:r>
    </w:p>
    <w:p>
      <w:pPr>
        <w:pStyle w:val="Heading2"/>
      </w:pPr>
      <w:r>
        <w:t>3.3 Home office assessment</w:t>
      </w:r>
    </w:p>
    <w:p>
      <w:r>
        <w:t>New employees are encouraged to complete a self-assessment of their home workstation using the checklist in the HR portal (Safety → Home Assessment) within their first 30 days. Employees with a disability or a pre-existing musculoskeletal condition may request a professional DSE (Display Screen Equipment) assessment.</w:t>
      </w:r>
    </w:p>
    <w:p>
      <w:pPr>
        <w:pStyle w:val="Heading1"/>
      </w:pPr>
      <w:r>
        <w:t>4. Accident and incident reporting</w:t>
      </w:r>
    </w:p>
    <w:p>
      <w:pPr>
        <w:pStyle w:val="Heading2"/>
      </w:pPr>
      <w:r>
        <w:t>4.1 What must be reported</w:t>
      </w:r>
    </w:p>
    <w:p>
      <w:r>
        <w:t>Any of the following must be reported, regardless of whether an injury occurred:</w:t>
      </w:r>
    </w:p>
    <w:p>
      <w:pPr>
        <w:pStyle w:val="ListBullet"/>
      </w:pPr>
      <w:r>
        <w:t>An accident or near-miss at the office or on company business</w:t>
      </w:r>
    </w:p>
    <w:p>
      <w:pPr>
        <w:pStyle w:val="ListBullet"/>
      </w:pPr>
      <w:r>
        <w:t>An injury sustained while working, including at a home office</w:t>
      </w:r>
    </w:p>
    <w:p>
      <w:pPr>
        <w:pStyle w:val="ListBullet"/>
      </w:pPr>
      <w:r>
        <w:t>A condition that the employee believes was caused or worsened by work</w:t>
      </w:r>
    </w:p>
    <w:p>
      <w:pPr>
        <w:pStyle w:val="Heading2"/>
      </w:pPr>
      <w:r>
        <w:t>4.2 How to report</w:t>
      </w:r>
    </w:p>
    <w:p>
      <w:pPr>
        <w:pStyle w:val="ListBullet"/>
      </w:pPr>
      <w:r>
        <w:t>1. For urgent medical attention, call 112 and then alert a First Aider or manager</w:t>
      </w:r>
    </w:p>
    <w:p>
      <w:pPr>
        <w:pStyle w:val="ListBullet"/>
      </w:pPr>
      <w:r>
        <w:t>2. Complete an incident report in the HR portal under Safety → Report Incident</w:t>
      </w:r>
    </w:p>
    <w:p>
      <w:r>
        <w:t>within 24 hours of the event</w:t>
      </w:r>
    </w:p>
    <w:p>
      <w:pPr>
        <w:pStyle w:val="ListBullet"/>
      </w:pPr>
      <w:r>
        <w:t>3. The manager will be notified automatically and will follow up within 1 working day</w:t>
      </w:r>
    </w:p>
    <w:p>
      <w:r>
        <w:t>Reports are kept confidential and are used to improve safety conditions. Reporting an incident will not result in disciplinary action against the employee.</w:t>
      </w:r>
    </w:p>
    <w:p>
      <w:pPr>
        <w:pStyle w:val="Heading2"/>
      </w:pPr>
      <w:r>
        <w:t>4.3 Investigation</w:t>
      </w:r>
    </w:p>
    <w:p>
      <w:r>
        <w:t>Zuqah Technologies will investigate all reported incidents to identify root causes and prevent recurrence. The employee who reported the incident will be informed of the outcome.</w:t>
      </w:r>
    </w:p>
    <w:p>
      <w:pPr>
        <w:pStyle w:val="Heading1"/>
      </w:pPr>
      <w:r>
        <w:t>5. Occupational health</w:t>
      </w:r>
    </w:p>
    <w:p>
      <w:r>
        <w:t>Where an employee has a health condition that affects their ability to work, Zuqah Technologies may refer the employee (with their consent) to an occupational health adviser. The adviser will recommend adjustments to support the employee in their role.</w:t>
      </w:r>
    </w:p>
    <w:p>
      <w:r>
        <w:t>Reasonable adjustments will be made in accordance with the Anti-Discrimination and Equal Opportunity Policy.</w:t>
      </w:r>
    </w:p>
    <w:p>
      <w:pPr>
        <w:pStyle w:val="Heading1"/>
      </w:pPr>
      <w:r>
        <w:t>6. Employee responsibilities</w:t>
      </w:r>
    </w:p>
    <w:p>
      <w:r>
        <w:t>All employees must:</w:t>
      </w:r>
    </w:p>
    <w:p>
      <w:pPr>
        <w:pStyle w:val="ListBullet"/>
      </w:pPr>
      <w:r>
        <w:t>Take reasonable care for their own health and safety and that of colleagues</w:t>
      </w:r>
    </w:p>
    <w:p>
      <w:pPr>
        <w:pStyle w:val="ListBullet"/>
      </w:pPr>
      <w:r>
        <w:t>Follow all safety procedures and instructions</w:t>
      </w:r>
    </w:p>
    <w:p>
      <w:pPr>
        <w:pStyle w:val="ListBullet"/>
      </w:pPr>
      <w:r>
        <w:t>Report unsafe conditions, accidents and near-misses promptly</w:t>
      </w:r>
    </w:p>
    <w:p>
      <w:pPr>
        <w:pStyle w:val="ListBullet"/>
      </w:pPr>
      <w:r>
        <w:t>Not interfere with or misuse safety equipment</w:t>
      </w:r>
    </w:p>
    <w:p>
      <w:pPr>
        <w:pStyle w:val="ListBullet"/>
      </w:pPr>
      <w:r>
        <w:t>Attend any mandatory safety training</w:t>
      </w:r>
    </w:p>
    <w:p>
      <w:pPr>
        <w:pStyle w:val="ListBullet"/>
      </w:pPr>
      <w:r>
        <w:t>Inform their manager if a health condition affects their ability to work safely</w:t>
      </w:r>
    </w:p>
    <w:p>
      <w:r>
        <w:t>Failure to follow safety procedures may result in disciplinary action.</w:t>
      </w:r>
    </w:p>
    <w:p>
      <w:pPr>
        <w:pStyle w:val="Heading1"/>
      </w:pPr>
      <w:r>
        <w:t>7. Stress and mental wellbeing</w:t>
      </w:r>
    </w:p>
    <w:p>
      <w:r>
        <w:t>Work-related stress is a health and safety issue. Managers should be alert to signs of stress in their teams and act early. Employees experiencing stress should speak to their manager or People Operations. See the Mental Health and Wellbeing Policy for the support available.</w:t>
      </w:r>
    </w:p>
    <w:p>
      <w:pPr>
        <w:pStyle w:val="Heading1"/>
      </w:pPr>
      <w:r>
        <w:t>8. Pregnancy and nursing</w:t>
      </w:r>
    </w:p>
    <w:p>
      <w:r>
        <w:t>Pregnant employees and those who have recently given birth or are nursing will be offered a risk assessment of their workspace and duties. Adjustments (seating, reduced standing time, lighter physical tasks) will be made where identified as necessary. See also the Maternity, Paternity and Parental Leave Policy.</w:t>
      </w:r>
    </w:p>
    <w:p>
      <w:pPr>
        <w:pStyle w:val="Heading1"/>
      </w:pPr>
      <w:r>
        <w:t>9. Contact</w:t>
      </w:r>
    </w:p>
    <w:p>
      <w:r>
        <w:t>Facilities team (office safety, equipment): facilities@zuqahtechnologies.com</w:t>
      </w:r>
    </w:p>
    <w:p>
      <w:r>
        <w:t>People Operations (health conditions, adjustments): people@zuqahtechnologies.com</w:t>
      </w:r>
    </w:p>
    <w:p>
      <w:r>
        <w:t>Emergency: 112</w:t>
      </w:r>
    </w:p>
    <w:p>
      <w:r>
        <w:rPr>
          <w:i/>
          <w:color w:val="94A3B8"/>
          <w:sz w:val="16"/>
        </w:rPr>
        <w:t>Sample content for demonstration purposes. Zuqah Technologies is a fictional company and this document describes no real organisation's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