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Incident Priority and Service Level Standard</w:t>
      </w:r>
    </w:p>
    <w:p>
      <w:r>
        <w:rPr>
          <w:color w:val="64748B"/>
          <w:sz w:val="17"/>
        </w:rPr>
        <w:t>Version 2.4  |  Owner: Service Desk  |  Effective 2026-01-05  |  Next review 2027-01-05</w:t>
      </w:r>
    </w:p>
    <w:p>
      <w:pPr>
        <w:pStyle w:val="Heading1"/>
      </w:pPr>
      <w:r>
        <w:t>1. Purpose</w:t>
      </w:r>
    </w:p>
    <w:p>
      <w:r>
        <w:t>This standard defines how IT incidents are prioritised, what response and resolution times apply to each priority, and how an incident is escalated when those times are at risk. It exists so that both the person reporting a problem and the person fixing it hold the same expectation.</w:t>
      </w:r>
    </w:p>
    <w:p>
      <w:pPr>
        <w:pStyle w:val="Heading1"/>
      </w:pPr>
      <w:r>
        <w:t>2. How priority is determined</w:t>
      </w:r>
    </w:p>
    <w:p>
      <w:r>
        <w:t>Priority is a function of two things: how much of the business is affected, and how severely. It is not set by the person reporting the incident, though their description of impact is the main input.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High severity — unable to work</w:t>
            </w:r>
          </w:p>
        </w:tc>
        <w:tc>
          <w:tcPr>
            <w:tcW w:type="dxa" w:w="2160"/>
          </w:tcPr>
          <w:p>
            <w:r>
              <w:t>Medium severity — degraded</w:t>
            </w:r>
          </w:p>
        </w:tc>
        <w:tc>
          <w:tcPr>
            <w:tcW w:type="dxa" w:w="2160"/>
          </w:tcPr>
          <w:p>
            <w:r>
              <w:t>Low severity — inconvenient</w:t>
            </w:r>
          </w:p>
        </w:tc>
      </w:tr>
      <w:tr>
        <w:tc>
          <w:tcPr>
            <w:tcW w:type="dxa" w:w="2160"/>
          </w:tcPr>
          <w:p>
            <w:r>
              <w:t>Many people</w:t>
            </w:r>
          </w:p>
        </w:tc>
        <w:tc>
          <w:tcPr>
            <w:tcW w:type="dxa" w:w="2160"/>
          </w:tcPr>
          <w:p>
            <w:r>
              <w:t>P1</w:t>
            </w:r>
          </w:p>
        </w:tc>
        <w:tc>
          <w:tcPr>
            <w:tcW w:type="dxa" w:w="2160"/>
          </w:tcPr>
          <w:p>
            <w:r>
              <w:t>P2</w:t>
            </w:r>
          </w:p>
        </w:tc>
        <w:tc>
          <w:tcPr>
            <w:tcW w:type="dxa" w:w="2160"/>
          </w:tcPr>
          <w:p>
            <w:r>
              <w:t>P3</w:t>
            </w:r>
          </w:p>
        </w:tc>
      </w:tr>
      <w:tr>
        <w:tc>
          <w:tcPr>
            <w:tcW w:type="dxa" w:w="2160"/>
          </w:tcPr>
          <w:p>
            <w:r>
              <w:t>A team</w:t>
            </w:r>
          </w:p>
        </w:tc>
        <w:tc>
          <w:tcPr>
            <w:tcW w:type="dxa" w:w="2160"/>
          </w:tcPr>
          <w:p>
            <w:r>
              <w:t>P2</w:t>
            </w:r>
          </w:p>
        </w:tc>
        <w:tc>
          <w:tcPr>
            <w:tcW w:type="dxa" w:w="2160"/>
          </w:tcPr>
          <w:p>
            <w:r>
              <w:t>P3</w:t>
            </w:r>
          </w:p>
        </w:tc>
        <w:tc>
          <w:tcPr>
            <w:tcW w:type="dxa" w:w="2160"/>
          </w:tcPr>
          <w:p>
            <w:r>
              <w:t>P3</w:t>
            </w:r>
          </w:p>
        </w:tc>
      </w:tr>
      <w:tr>
        <w:tc>
          <w:tcPr>
            <w:tcW w:type="dxa" w:w="2160"/>
          </w:tcPr>
          <w:p>
            <w:r>
              <w:t>One person</w:t>
            </w:r>
          </w:p>
        </w:tc>
        <w:tc>
          <w:tcPr>
            <w:tcW w:type="dxa" w:w="2160"/>
          </w:tcPr>
          <w:p>
            <w:r>
              <w:t>P3</w:t>
            </w:r>
          </w:p>
        </w:tc>
        <w:tc>
          <w:tcPr>
            <w:tcW w:type="dxa" w:w="2160"/>
          </w:tcPr>
          <w:p>
            <w:r>
              <w:t>P3</w:t>
            </w:r>
          </w:p>
        </w:tc>
        <w:tc>
          <w:tcPr>
            <w:tcW w:type="dxa" w:w="2160"/>
          </w:tcPr>
          <w:p>
            <w:r>
              <w:t>P4</w:t>
            </w:r>
          </w:p>
        </w:tc>
      </w:tr>
    </w:tbl>
    <w:p>
      <w:r>
        <w:t>A single person unable to work at all is a P3, not a P1. This is deliberate: priority reflects business impact, and reserving P1 for genuinely widespread outages is what makes P1 mean anything.</w:t>
      </w:r>
    </w:p>
    <w:p>
      <w:pPr>
        <w:pStyle w:val="Heading1"/>
      </w:pPr>
      <w:r>
        <w:t>3. Priority definitions</w:t>
      </w:r>
    </w:p>
    <w:p>
      <w:pPr>
        <w:pStyle w:val="Heading2"/>
      </w:pPr>
      <w:r>
        <w:t>3.1 P1 — Critical</w:t>
      </w:r>
    </w:p>
    <w:p>
      <w:r>
        <w:t>A service that many people depend on is completely unavailable, or a security incident is in progress. Examples: authentication is down, the corporate network is unreachable from an office, a confirmed active compromise.</w:t>
      </w:r>
    </w:p>
    <w:p>
      <w:r>
        <w:t>P1 incidents are worked continuously until service is restored, including outside business hours. A P1 is communicated to all affected users within 30 minutes of being declared, and updated at least hourly thereafter.</w:t>
      </w:r>
    </w:p>
    <w:p>
      <w:pPr>
        <w:pStyle w:val="Heading2"/>
      </w:pPr>
      <w:r>
        <w:t>3.2 P2 — High</w:t>
      </w:r>
    </w:p>
    <w:p>
      <w:r>
        <w:t>A service is significantly degraded, or a team is unable to work. Examples: a shared application is very slow for everyone, a practice cannot reach a system it needs, a customer deliverable is at risk today.</w:t>
      </w:r>
    </w:p>
    <w:p>
      <w:pPr>
        <w:pStyle w:val="Heading2"/>
      </w:pPr>
      <w:r>
        <w:t>3.3 P3 — Standard</w:t>
      </w:r>
    </w:p>
    <w:p>
      <w:r>
        <w:t>The default. One person cannot work, or a service is mildly degraded for several people. Most incidents are P3, including a failed laptop, a lost password and an application that will not start for a single user.</w:t>
      </w:r>
    </w:p>
    <w:p>
      <w:pPr>
        <w:pStyle w:val="Heading2"/>
      </w:pPr>
      <w:r>
        <w:t>3.4 P4 — Low</w:t>
      </w:r>
    </w:p>
    <w:p>
      <w:r>
        <w:t>A request or a minor issue with a workaround already in place. Examples: a cosmetic fault, a question about how something works, a request for a peripheral.</w:t>
      </w:r>
    </w:p>
    <w:p>
      <w:pPr>
        <w:pStyle w:val="Heading1"/>
      </w:pPr>
      <w:r>
        <w:t>4. Response and resolution targets</w:t>
      </w:r>
    </w:p>
    <w:p>
      <w:r>
        <w:t>Response means a human has read the ticket, confirmed the priority and told the reporter what happens next. It does not mean an automated acknowledgement.</w:t>
      </w:r>
    </w:p>
    <w:p>
      <w:r>
        <w:t>Resolution means service is restored, which may be by workaround. A permanent fix may follow separately under problem management.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Response</w:t>
            </w:r>
          </w:p>
        </w:tc>
        <w:tc>
          <w:tcPr>
            <w:tcW w:type="dxa" w:w="2160"/>
          </w:tcPr>
          <w:p>
            <w:r>
              <w:t>Resolution target</w:t>
            </w:r>
          </w:p>
        </w:tc>
        <w:tc>
          <w:tcPr>
            <w:tcW w:type="dxa" w:w="2160"/>
          </w:tcPr>
          <w:p>
            <w:r>
              <w:t>Hours covered</w:t>
            </w:r>
          </w:p>
        </w:tc>
      </w:tr>
      <w:tr>
        <w:tc>
          <w:tcPr>
            <w:tcW w:type="dxa" w:w="2160"/>
          </w:tcPr>
          <w:p>
            <w:r>
              <w:t>P1</w:t>
            </w:r>
          </w:p>
        </w:tc>
        <w:tc>
          <w:tcPr>
            <w:tcW w:type="dxa" w:w="2160"/>
          </w:tcPr>
          <w:p>
            <w:r>
              <w:t>15 minutes</w:t>
            </w:r>
          </w:p>
        </w:tc>
        <w:tc>
          <w:tcPr>
            <w:tcW w:type="dxa" w:w="2160"/>
          </w:tcPr>
          <w:p>
            <w:r>
              <w:t>4 hours</w:t>
            </w:r>
          </w:p>
        </w:tc>
        <w:tc>
          <w:tcPr>
            <w:tcW w:type="dxa" w:w="2160"/>
          </w:tcPr>
          <w:p>
            <w:r>
              <w:t>24 × 7</w:t>
            </w:r>
          </w:p>
        </w:tc>
      </w:tr>
      <w:tr>
        <w:tc>
          <w:tcPr>
            <w:tcW w:type="dxa" w:w="2160"/>
          </w:tcPr>
          <w:p>
            <w:r>
              <w:t>P2</w:t>
            </w:r>
          </w:p>
        </w:tc>
        <w:tc>
          <w:tcPr>
            <w:tcW w:type="dxa" w:w="2160"/>
          </w:tcPr>
          <w:p>
            <w:r>
              <w:t>1 hour</w:t>
            </w:r>
          </w:p>
        </w:tc>
        <w:tc>
          <w:tcPr>
            <w:tcW w:type="dxa" w:w="2160"/>
          </w:tcPr>
          <w:p>
            <w:r>
              <w:t>8 business hours</w:t>
            </w:r>
          </w:p>
        </w:tc>
        <w:tc>
          <w:tcPr>
            <w:tcW w:type="dxa" w:w="2160"/>
          </w:tcPr>
          <w:p>
            <w:r>
              <w:t>Business hours</w:t>
            </w:r>
          </w:p>
        </w:tc>
      </w:tr>
      <w:tr>
        <w:tc>
          <w:tcPr>
            <w:tcW w:type="dxa" w:w="2160"/>
          </w:tcPr>
          <w:p>
            <w:r>
              <w:t>P3</w:t>
            </w:r>
          </w:p>
        </w:tc>
        <w:tc>
          <w:tcPr>
            <w:tcW w:type="dxa" w:w="2160"/>
          </w:tcPr>
          <w:p>
            <w:r>
              <w:t>4 business hours</w:t>
            </w:r>
          </w:p>
        </w:tc>
        <w:tc>
          <w:tcPr>
            <w:tcW w:type="dxa" w:w="2160"/>
          </w:tcPr>
          <w:p>
            <w:r>
              <w:t>3 business days</w:t>
            </w:r>
          </w:p>
        </w:tc>
        <w:tc>
          <w:tcPr>
            <w:tcW w:type="dxa" w:w="2160"/>
          </w:tcPr>
          <w:p>
            <w:r>
              <w:t>Business hours</w:t>
            </w:r>
          </w:p>
        </w:tc>
      </w:tr>
      <w:tr>
        <w:tc>
          <w:tcPr>
            <w:tcW w:type="dxa" w:w="2160"/>
          </w:tcPr>
          <w:p>
            <w:r>
              <w:t>P4</w:t>
            </w:r>
          </w:p>
        </w:tc>
        <w:tc>
          <w:tcPr>
            <w:tcW w:type="dxa" w:w="2160"/>
          </w:tcPr>
          <w:p>
            <w:r>
              <w:t>1 business day</w:t>
            </w:r>
          </w:p>
        </w:tc>
        <w:tc>
          <w:tcPr>
            <w:tcW w:type="dxa" w:w="2160"/>
          </w:tcPr>
          <w:p>
            <w:r>
              <w:t>10 business days</w:t>
            </w:r>
          </w:p>
        </w:tc>
        <w:tc>
          <w:tcPr>
            <w:tcW w:type="dxa" w:w="2160"/>
          </w:tcPr>
          <w:p>
            <w:r>
              <w:t>Business hours</w:t>
            </w:r>
          </w:p>
        </w:tc>
      </w:tr>
    </w:tbl>
    <w:p>
      <w:r>
        <w:t>Business hours are 08:00 to 18:00 local time, Monday to Friday, excluding public holidays in the employee's location. Only P1 carries an out-of-hours commitment.</w:t>
      </w:r>
    </w:p>
    <w:p>
      <w:r>
        <w:t>Targets are measured from when the ticket is raised, not from when it is assigned. Time spent waiting for information from the reporter is excluded, and the ticket is placed in a pending state that stops the clock.</w:t>
      </w:r>
    </w:p>
    <w:p>
      <w:pPr>
        <w:pStyle w:val="Heading1"/>
      </w:pPr>
      <w:r>
        <w:t>5. Escalation</w:t>
      </w:r>
    </w:p>
    <w:p>
      <w:r>
        <w:t>An incident is escalated automatically when it reaches 75% of its resolution target without a resolution in sight. Escalation means the assigned engineer's manager is notified and, for P1 and P2, a second engineer is added.</w:t>
      </w:r>
    </w:p>
    <w:p>
      <w:r>
        <w:t>A reporter may also request escalation at any time by replying to the ticket and saying so plainly. Requests are reviewed within one business hour and are granted where the stated business impact justifies a higher priority. A request that is declined always receives an explanation.</w:t>
      </w:r>
    </w:p>
    <w:p>
      <w:pPr>
        <w:pStyle w:val="Heading1"/>
      </w:pPr>
      <w:r>
        <w:t>6. Reopening and disputes</w:t>
      </w:r>
    </w:p>
    <w:p>
      <w:r>
        <w:t>A resolved ticket may be reopened within five business days if the problem recurs. After five days a new ticket is raised, linked to the original.</w:t>
      </w:r>
    </w:p>
    <w:p>
      <w:r>
        <w:t>Where a reporter disagrees with the assigned priority, the Service Desk lead reviews it. The decision and its reasoning are recorded on the ticket.</w:t>
      </w:r>
    </w:p>
    <w:p>
      <w:pPr>
        <w:pStyle w:val="Heading1"/>
      </w:pPr>
      <w:r>
        <w:t>7. What is not an incident</w:t>
      </w:r>
    </w:p>
    <w:p>
      <w:r>
        <w:t>Requests for new equipment, access, software or accounts are service requests, not incidents, and follow the target in section 4 for P4 unless a specific standard says otherwise. The distinction matters: an incident restores something that was working, a request provides something new.</w:t>
      </w:r>
    </w:p>
    <w:p>
      <w:r>
        <w:t>Where a request is genuinely blocking work — a new starter with no laptop on their first morning, for instance — it is raised as a P3 incident instead, and the reason is noted on the ticket.</w:t>
      </w:r>
    </w:p>
    <w:p>
      <w:pPr>
        <w:pStyle w:val="Heading1"/>
      </w:pPr>
      <w:r>
        <w:t>8. Measurement and reporting</w:t>
      </w:r>
    </w:p>
    <w:p>
      <w:r>
        <w:t>Attainment against these targets is reported monthly to the IT leadership team and is published on the IT portal. The measures are: percentage responded within target, percentage resolved within target, and volume by priority and category.</w:t>
      </w:r>
    </w:p>
    <w:p>
      <w:r>
        <w:t>Tickets are not closed to protect a measure. Where a target is missed, it is recorded as missed.</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