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Leaver and Offboarding Process</w:t>
      </w:r>
    </w:p>
    <w:p>
      <w:r>
        <w:rPr>
          <w:color w:val="64748B"/>
          <w:sz w:val="17"/>
        </w:rPr>
        <w:t>Version 1.0  |  Owner: People Operations  |  Effective 2026-01-01  |  Next review 2027-01-01</w:t>
      </w:r>
    </w:p>
    <w:p>
      <w:pPr>
        <w:pStyle w:val="Heading1"/>
      </w:pPr>
      <w:r>
        <w:t>1. Purpose</w:t>
      </w:r>
    </w:p>
    <w:p>
      <w:r>
        <w:t>This document explains what happens when an employee leaves Zuqah Technologies, whether through resignation, end of contract or termination. It covers notice periods, the handover process, equipment return, final pay and reference letters.</w:t>
      </w:r>
    </w:p>
    <w:p>
      <w:pPr>
        <w:pStyle w:val="Heading1"/>
      </w:pPr>
      <w:r>
        <w:t>2. Resignation</w:t>
      </w:r>
    </w:p>
    <w:p>
      <w:pPr>
        <w:pStyle w:val="Heading2"/>
      </w:pPr>
      <w:r>
        <w:t>2.1 How to resign</w:t>
      </w:r>
    </w:p>
    <w:p>
      <w:r>
        <w:t>Submit your resignation in writing — by email to your manager with a copy to people@zuqahtechnologies.com. A verbal resignation is accepted but must be followed up in writing within 24 hours.</w:t>
      </w:r>
    </w:p>
    <w:p>
      <w:r>
        <w:t>The notice period begins on the date Zuqah Technologies receives the written resignation.</w:t>
      </w:r>
    </w:p>
    <w:p>
      <w:pPr>
        <w:pStyle w:val="Heading2"/>
      </w:pPr>
      <w:r>
        <w:t>2.2 Notice periods</w:t>
      </w:r>
    </w:p>
    <w:tbl>
      <w:tblPr>
        <w:tblStyle w:val="LightGrid-Accent1"/>
        <w:tblW w:type="auto" w:w="0"/>
        <w:tblLook w:firstColumn="1" w:firstRow="1" w:lastColumn="0" w:lastRow="0" w:noHBand="0" w:noVBand="1" w:val="04A0"/>
      </w:tblPr>
      <w:tblGrid>
        <w:gridCol w:w="4320"/>
        <w:gridCol w:w="4320"/>
      </w:tblGrid>
      <w:tr>
        <w:tc>
          <w:tcPr>
            <w:tcW w:type="dxa" w:w="4320"/>
          </w:tcPr>
          <w:p>
            <w:r>
              <w:t>Level</w:t>
            </w:r>
          </w:p>
        </w:tc>
        <w:tc>
          <w:tcPr>
            <w:tcW w:type="dxa" w:w="4320"/>
          </w:tcPr>
          <w:p>
            <w:r>
              <w:t>Notice period</w:t>
            </w:r>
          </w:p>
        </w:tc>
      </w:tr>
      <w:tr>
        <w:tc>
          <w:tcPr>
            <w:tcW w:type="dxa" w:w="4320"/>
          </w:tcPr>
          <w:p>
            <w:r>
              <w:t>Probation period</w:t>
            </w:r>
          </w:p>
        </w:tc>
        <w:tc>
          <w:tcPr>
            <w:tcW w:type="dxa" w:w="4320"/>
          </w:tcPr>
          <w:p>
            <w:r>
              <w:t>2 weeks</w:t>
            </w:r>
          </w:p>
        </w:tc>
      </w:tr>
      <w:tr>
        <w:tc>
          <w:tcPr>
            <w:tcW w:type="dxa" w:w="4320"/>
          </w:tcPr>
          <w:p>
            <w:r>
              <w:t>Individual Contributor</w:t>
            </w:r>
          </w:p>
        </w:tc>
        <w:tc>
          <w:tcPr>
            <w:tcW w:type="dxa" w:w="4320"/>
          </w:tcPr>
          <w:p>
            <w:r>
              <w:t>1 month</w:t>
            </w:r>
          </w:p>
        </w:tc>
      </w:tr>
      <w:tr>
        <w:tc>
          <w:tcPr>
            <w:tcW w:type="dxa" w:w="4320"/>
          </w:tcPr>
          <w:p>
            <w:r>
              <w:t>Senior / Lead</w:t>
            </w:r>
          </w:p>
        </w:tc>
        <w:tc>
          <w:tcPr>
            <w:tcW w:type="dxa" w:w="4320"/>
          </w:tcPr>
          <w:p>
            <w:r>
              <w:t>1 month</w:t>
            </w:r>
          </w:p>
        </w:tc>
      </w:tr>
      <w:tr>
        <w:tc>
          <w:tcPr>
            <w:tcW w:type="dxa" w:w="4320"/>
          </w:tcPr>
          <w:p>
            <w:r>
              <w:t>Manager</w:t>
            </w:r>
          </w:p>
        </w:tc>
        <w:tc>
          <w:tcPr>
            <w:tcW w:type="dxa" w:w="4320"/>
          </w:tcPr>
          <w:p>
            <w:r>
              <w:t>2 months</w:t>
            </w:r>
          </w:p>
        </w:tc>
      </w:tr>
      <w:tr>
        <w:tc>
          <w:tcPr>
            <w:tcW w:type="dxa" w:w="4320"/>
          </w:tcPr>
          <w:p>
            <w:r>
              <w:t>Director and above</w:t>
            </w:r>
          </w:p>
        </w:tc>
        <w:tc>
          <w:tcPr>
            <w:tcW w:type="dxa" w:w="4320"/>
          </w:tcPr>
          <w:p>
            <w:r>
              <w:t>3 months</w:t>
            </w:r>
          </w:p>
        </w:tc>
      </w:tr>
    </w:tbl>
    <w:p>
      <w:r>
        <w:t>Your offer letter or most recent employment contract specifies your applicable notice period. If the two differ, the contract takes precedence.</w:t>
      </w:r>
    </w:p>
    <w:p>
      <w:pPr>
        <w:pStyle w:val="Heading2"/>
      </w:pPr>
      <w:r>
        <w:t>2.3 Notice buyout (Garden Leave)</w:t>
      </w:r>
    </w:p>
    <w:p>
      <w:r>
        <w:t>Either party may agree to waive part or all of the notice period. If Zuqah Technologies asks the employee to leave before the notice period ends, the employee will be paid in lieu for the remaining notice.</w:t>
      </w:r>
    </w:p>
    <w:p>
      <w:r>
        <w:t>If an employee wishes to leave before their notice period is served, a payment equivalent to the remaining notice period's salary may be deducted from final pay, unless Zuqah Technologies agrees to an early release.</w:t>
      </w:r>
    </w:p>
    <w:p>
      <w:pPr>
        <w:pStyle w:val="Heading1"/>
      </w:pPr>
      <w:r>
        <w:t>3. What happens after you resign</w:t>
      </w:r>
    </w:p>
    <w:p>
      <w:pPr>
        <w:pStyle w:val="Heading2"/>
      </w:pPr>
      <w:r>
        <w:t>3.1 Week 1</w:t>
      </w:r>
    </w:p>
    <w:p>
      <w:r>
        <w:t>Manager:</w:t>
      </w:r>
    </w:p>
    <w:p>
      <w:pPr>
        <w:pStyle w:val="ListBullet"/>
      </w:pPr>
      <w:r>
        <w:t>Acknowledges the resignation in writing and confirms the last working day</w:t>
      </w:r>
    </w:p>
    <w:p>
      <w:pPr>
        <w:pStyle w:val="ListBullet"/>
      </w:pPr>
      <w:r>
        <w:t>Begins planning knowledge transfer</w:t>
      </w:r>
    </w:p>
    <w:p>
      <w:r>
        <w:t>People Operations:</w:t>
      </w:r>
    </w:p>
    <w:p>
      <w:pPr>
        <w:pStyle w:val="ListBullet"/>
      </w:pPr>
      <w:r>
        <w:t>Sends the offboarding checklist to the employee and manager</w:t>
      </w:r>
    </w:p>
    <w:p>
      <w:pPr>
        <w:pStyle w:val="ListBullet"/>
      </w:pPr>
      <w:r>
        <w:t>Books the exit interview (see section 7)</w:t>
      </w:r>
    </w:p>
    <w:p>
      <w:r>
        <w:t>Employee:</w:t>
      </w:r>
    </w:p>
    <w:p>
      <w:pPr>
        <w:pStyle w:val="ListBullet"/>
      </w:pPr>
      <w:r>
        <w:t>Begins documenting current work, open tasks and handover notes</w:t>
      </w:r>
    </w:p>
    <w:p>
      <w:pPr>
        <w:pStyle w:val="Heading2"/>
      </w:pPr>
      <w:r>
        <w:t>3.2 Handover period</w:t>
      </w:r>
    </w:p>
    <w:p>
      <w:r>
        <w:t>The employee is expected to spend the notice period on an orderly handover. This includes:</w:t>
      </w:r>
    </w:p>
    <w:p>
      <w:pPr>
        <w:pStyle w:val="ListBullet"/>
      </w:pPr>
      <w:r>
        <w:t>Documenting ongoing projects, contacts and processes</w:t>
      </w:r>
    </w:p>
    <w:p>
      <w:pPr>
        <w:pStyle w:val="ListBullet"/>
      </w:pPr>
      <w:r>
        <w:t>Completing or transitioning all open work items</w:t>
      </w:r>
    </w:p>
    <w:p>
      <w:pPr>
        <w:pStyle w:val="ListBullet"/>
      </w:pPr>
      <w:r>
        <w:t>Updating shared systems and documentation</w:t>
      </w:r>
    </w:p>
    <w:p>
      <w:pPr>
        <w:pStyle w:val="ListBullet"/>
      </w:pPr>
      <w:r>
        <w:t>Training colleagues who will take over responsibilities</w:t>
      </w:r>
    </w:p>
    <w:p>
      <w:pPr>
        <w:pStyle w:val="Heading2"/>
      </w:pPr>
      <w:r>
        <w:t>3.3 Access during notice</w:t>
      </w:r>
    </w:p>
    <w:p>
      <w:r>
        <w:t>The employee retains access to company systems during the notice period, unless they are placed on garden leave or access is restricted due to a security concern.</w:t>
      </w:r>
    </w:p>
    <w:p>
      <w:pPr>
        <w:pStyle w:val="Heading1"/>
      </w:pPr>
      <w:r>
        <w:t>4. Last working day checklist</w:t>
      </w:r>
    </w:p>
    <w:p>
      <w:r>
        <w:t>The following must be completed on or before the last working day:</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Action required</w:t>
            </w:r>
          </w:p>
        </w:tc>
      </w:tr>
      <w:tr>
        <w:tc>
          <w:tcPr>
            <w:tcW w:type="dxa" w:w="4320"/>
          </w:tcPr>
          <w:p>
            <w:r>
              <w:t>Laptop and accessories</w:t>
            </w:r>
          </w:p>
        </w:tc>
        <w:tc>
          <w:tcPr>
            <w:tcW w:type="dxa" w:w="4320"/>
          </w:tcPr>
          <w:p>
            <w:r>
              <w:t>Return to the office or arrange courier. See section 5</w:t>
            </w:r>
          </w:p>
        </w:tc>
      </w:tr>
      <w:tr>
        <w:tc>
          <w:tcPr>
            <w:tcW w:type="dxa" w:w="4320"/>
          </w:tcPr>
          <w:p>
            <w:r>
              <w:t>Company mobile phone</w:t>
            </w:r>
          </w:p>
        </w:tc>
        <w:tc>
          <w:tcPr>
            <w:tcW w:type="dxa" w:w="4320"/>
          </w:tcPr>
          <w:p>
            <w:r>
              <w:t>Return to IT</w:t>
            </w:r>
          </w:p>
        </w:tc>
      </w:tr>
      <w:tr>
        <w:tc>
          <w:tcPr>
            <w:tcW w:type="dxa" w:w="4320"/>
          </w:tcPr>
          <w:p>
            <w:r>
              <w:t>Access cards and keys</w:t>
            </w:r>
          </w:p>
        </w:tc>
        <w:tc>
          <w:tcPr>
            <w:tcW w:type="dxa" w:w="4320"/>
          </w:tcPr>
          <w:p>
            <w:r>
              <w:t>Return to Facilities</w:t>
            </w:r>
          </w:p>
        </w:tc>
      </w:tr>
      <w:tr>
        <w:tc>
          <w:tcPr>
            <w:tcW w:type="dxa" w:w="4320"/>
          </w:tcPr>
          <w:p>
            <w:r>
              <w:t>Personal belongings</w:t>
            </w:r>
          </w:p>
        </w:tc>
        <w:tc>
          <w:tcPr>
            <w:tcW w:type="dxa" w:w="4320"/>
          </w:tcPr>
          <w:p>
            <w:r>
              <w:t>Remove from office and company systems</w:t>
            </w:r>
          </w:p>
        </w:tc>
      </w:tr>
      <w:tr>
        <w:tc>
          <w:tcPr>
            <w:tcW w:type="dxa" w:w="4320"/>
          </w:tcPr>
          <w:p>
            <w:r>
              <w:t>Handover document</w:t>
            </w:r>
          </w:p>
        </w:tc>
        <w:tc>
          <w:tcPr>
            <w:tcW w:type="dxa" w:w="4320"/>
          </w:tcPr>
          <w:p>
            <w:r>
              <w:t>Submit to manager</w:t>
            </w:r>
          </w:p>
        </w:tc>
      </w:tr>
      <w:tr>
        <w:tc>
          <w:tcPr>
            <w:tcW w:type="dxa" w:w="4320"/>
          </w:tcPr>
          <w:p>
            <w:r>
              <w:t>Expense claims</w:t>
            </w:r>
          </w:p>
        </w:tc>
        <w:tc>
          <w:tcPr>
            <w:tcW w:type="dxa" w:w="4320"/>
          </w:tcPr>
          <w:p>
            <w:r>
              <w:t>Submit any outstanding claims before final pay cutoff</w:t>
            </w:r>
          </w:p>
        </w:tc>
      </w:tr>
      <w:tr>
        <w:tc>
          <w:tcPr>
            <w:tcW w:type="dxa" w:w="4320"/>
          </w:tcPr>
          <w:p>
            <w:r>
              <w:t>PF nomination</w:t>
            </w:r>
          </w:p>
        </w:tc>
        <w:tc>
          <w:tcPr>
            <w:tcW w:type="dxa" w:w="4320"/>
          </w:tcPr>
          <w:p>
            <w:r>
              <w:t>Update if required (update with EPFO directly using UAN)</w:t>
            </w:r>
          </w:p>
        </w:tc>
      </w:tr>
    </w:tbl>
    <w:p>
      <w:r>
        <w:t>IT will disable all accounts and access at 18:00 on the last working day, unless an alternative time is agreed for handover reasons.</w:t>
      </w:r>
    </w:p>
    <w:p>
      <w:pPr>
        <w:pStyle w:val="Heading1"/>
      </w:pPr>
      <w:r>
        <w:t>5. Equipment return</w:t>
      </w:r>
    </w:p>
    <w:p>
      <w:pPr>
        <w:pStyle w:val="Heading2"/>
      </w:pPr>
      <w:r>
        <w:t>5.1 Return process</w:t>
      </w:r>
    </w:p>
    <w:p>
      <w:r>
        <w:t>Company equipment must be returned in good working condition, reasonable wear and tear excepted.</w:t>
      </w:r>
    </w:p>
    <w:p>
      <w:r>
        <w:t>Office-based employees: Return equipment in person to the IT team on or before the last working day.</w:t>
      </w:r>
    </w:p>
    <w:p>
      <w:r>
        <w:t>Remote employees: People Operations will arrange a courier pickup. The collection is scheduled during the final week of the notice period.</w:t>
      </w:r>
    </w:p>
    <w:p>
      <w:pPr>
        <w:pStyle w:val="Heading2"/>
      </w:pPr>
      <w:r>
        <w:t>5.2 Equipment damage</w:t>
      </w:r>
    </w:p>
    <w:p>
      <w:r>
        <w:t>If company equipment is damaged beyond fair wear and tear, the cost of repair or replacement may be deducted from final pay, up to the amount specified in the Hardware Refresh and Laptop Policy.</w:t>
      </w:r>
    </w:p>
    <w:p>
      <w:pPr>
        <w:pStyle w:val="Heading2"/>
      </w:pPr>
      <w:r>
        <w:t>5.3 Equipment not returned</w:t>
      </w:r>
    </w:p>
    <w:p>
      <w:r>
        <w:t>If equipment is not returned within 7 days of the last working day, the cost of replacement will be recovered from final pay or through other available means.</w:t>
      </w:r>
    </w:p>
    <w:p>
      <w:pPr>
        <w:pStyle w:val="Heading1"/>
      </w:pPr>
      <w:r>
        <w:t>6. Final pay and full and final settlement</w:t>
      </w:r>
    </w:p>
    <w:p>
      <w:pPr>
        <w:pStyle w:val="Heading2"/>
      </w:pPr>
      <w:r>
        <w:t>6.1 What is included</w:t>
      </w:r>
    </w:p>
    <w:p>
      <w:r>
        <w:t>Final pay is processed in the payroll cycle following the last working day and includes:</w:t>
      </w:r>
    </w:p>
    <w:tbl>
      <w:tblPr>
        <w:tblStyle w:val="LightGrid-Accent1"/>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Notes</w:t>
            </w:r>
          </w:p>
        </w:tc>
      </w:tr>
      <w:tr>
        <w:tc>
          <w:tcPr>
            <w:tcW w:type="dxa" w:w="4320"/>
          </w:tcPr>
          <w:p>
            <w:r>
              <w:t>Salary to date of leaving</w:t>
            </w:r>
          </w:p>
        </w:tc>
        <w:tc>
          <w:tcPr>
            <w:tcW w:type="dxa" w:w="4320"/>
          </w:tcPr>
          <w:p>
            <w:r>
              <w:t>Prorated for the actual days worked in the final month</w:t>
            </w:r>
          </w:p>
        </w:tc>
      </w:tr>
      <w:tr>
        <w:tc>
          <w:tcPr>
            <w:tcW w:type="dxa" w:w="4320"/>
          </w:tcPr>
          <w:p>
            <w:r>
              <w:t>Accrued but unused annual leave</w:t>
            </w:r>
          </w:p>
        </w:tc>
        <w:tc>
          <w:tcPr>
            <w:tcW w:type="dxa" w:w="4320"/>
          </w:tcPr>
          <w:p>
            <w:r>
              <w:t>Paid out at the daily rate</w:t>
            </w:r>
          </w:p>
        </w:tc>
      </w:tr>
      <w:tr>
        <w:tc>
          <w:tcPr>
            <w:tcW w:type="dxa" w:w="4320"/>
          </w:tcPr>
          <w:p>
            <w:r>
              <w:t>Pending expense reimbursements</w:t>
            </w:r>
          </w:p>
        </w:tc>
        <w:tc>
          <w:tcPr>
            <w:tcW w:type="dxa" w:w="4320"/>
          </w:tcPr>
          <w:p>
            <w:r>
              <w:t>Submitted and approved before the cutoff date</w:t>
            </w:r>
          </w:p>
        </w:tc>
      </w:tr>
      <w:tr>
        <w:tc>
          <w:tcPr>
            <w:tcW w:type="dxa" w:w="4320"/>
          </w:tcPr>
          <w:p>
            <w:r>
              <w:t>Performance bonus (if applicable)</w:t>
            </w:r>
          </w:p>
        </w:tc>
        <w:tc>
          <w:tcPr>
            <w:tcW w:type="dxa" w:w="4320"/>
          </w:tcPr>
          <w:p>
            <w:r>
              <w:t>Prorated for the period served in the financial year, per the bonus plan rules</w:t>
            </w:r>
          </w:p>
        </w:tc>
      </w:tr>
      <w:tr>
        <w:tc>
          <w:tcPr>
            <w:tcW w:type="dxa" w:w="4320"/>
          </w:tcPr>
          <w:p>
            <w:r>
              <w:t>Gratuity (if applicable)</w:t>
            </w:r>
          </w:p>
        </w:tc>
        <w:tc>
          <w:tcPr>
            <w:tcW w:type="dxa" w:w="4320"/>
          </w:tcPr>
          <w:p>
            <w:r>
              <w:t>Payable after 5 completed years of continuous service, as per the Payment of Gratuity Act, 1972</w:t>
            </w:r>
          </w:p>
        </w:tc>
      </w:tr>
    </w:tbl>
    <w:p>
      <w:r>
        <w:t>Deductions from final pay may include:</w:t>
      </w:r>
    </w:p>
    <w:p>
      <w:pPr>
        <w:pStyle w:val="ListBullet"/>
      </w:pPr>
      <w:r>
        <w:t>Notice buyout (if applicable)</w:t>
      </w:r>
    </w:p>
    <w:p>
      <w:pPr>
        <w:pStyle w:val="ListBullet"/>
      </w:pPr>
      <w:r>
        <w:t>Equipment not returned</w:t>
      </w:r>
    </w:p>
    <w:p>
      <w:pPr>
        <w:pStyle w:val="ListBullet"/>
      </w:pPr>
      <w:r>
        <w:t>Outstanding advances or loans</w:t>
      </w:r>
    </w:p>
    <w:p>
      <w:pPr>
        <w:pStyle w:val="Heading2"/>
      </w:pPr>
      <w:r>
        <w:t>6.2 Full and final settlement letter</w:t>
      </w:r>
    </w:p>
    <w:p>
      <w:r>
        <w:t>A Full and Final Settlement (FnF) letter will be sent to the employee within 45 days of the last working day, confirming all amounts paid and deducted.</w:t>
      </w:r>
    </w:p>
    <w:p>
      <w:pPr>
        <w:pStyle w:val="Heading2"/>
      </w:pPr>
      <w:r>
        <w:t>6.3 PF settlement</w:t>
      </w:r>
    </w:p>
    <w:p>
      <w:r>
        <w:t>Your PF account will be updated after your final working month. You may transfer or withdraw your PF balance through the EPFO portal using your UAN. People Operations can provide guidance on the process.</w:t>
      </w:r>
    </w:p>
    <w:p>
      <w:pPr>
        <w:pStyle w:val="Heading1"/>
      </w:pPr>
      <w:r>
        <w:t>7. Exit interview</w:t>
      </w:r>
    </w:p>
    <w:p>
      <w:r>
        <w:t>People Operations will conduct an exit interview, either in person or by video call, during the notice period. The interview covers:</w:t>
      </w:r>
    </w:p>
    <w:p>
      <w:pPr>
        <w:pStyle w:val="ListBullet"/>
      </w:pPr>
      <w:r>
        <w:t>Reasons for leaving</w:t>
      </w:r>
    </w:p>
    <w:p>
      <w:pPr>
        <w:pStyle w:val="ListBullet"/>
      </w:pPr>
      <w:r>
        <w:t>Experience at Zuqah Technologies</w:t>
      </w:r>
    </w:p>
    <w:p>
      <w:pPr>
        <w:pStyle w:val="ListBullet"/>
      </w:pPr>
      <w:r>
        <w:t>Suggestions for improvement</w:t>
      </w:r>
    </w:p>
    <w:p>
      <w:pPr>
        <w:pStyle w:val="ListBullet"/>
      </w:pPr>
      <w:r>
        <w:t>Team and management feedback</w:t>
      </w:r>
    </w:p>
    <w:p>
      <w:r>
        <w:t>Exit interview responses are kept confidential. Aggregate findings (without identifying individual leavers) are shared with leadership to inform improvements.</w:t>
      </w:r>
    </w:p>
    <w:p>
      <w:pPr>
        <w:pStyle w:val="Heading1"/>
      </w:pPr>
      <w:r>
        <w:t>8. Reference letters</w:t>
      </w:r>
    </w:p>
    <w:p>
      <w:pPr>
        <w:pStyle w:val="Heading2"/>
      </w:pPr>
      <w:r>
        <w:t>8.1 Experience letter</w:t>
      </w:r>
    </w:p>
    <w:p>
      <w:r>
        <w:t>An experience letter confirming employment dates and last held title will be issued within 5 working days of the last working day. It is available for download from the HR portal under My Documents after your final working day.</w:t>
      </w:r>
    </w:p>
    <w:p>
      <w:pPr>
        <w:pStyle w:val="Heading2"/>
      </w:pPr>
      <w:r>
        <w:t>8.2 Relieving letter</w:t>
      </w:r>
    </w:p>
    <w:p>
      <w:r>
        <w:t>A relieving letter (confirming that the employee has been relieved of their duties and all obligations) is issued once equipment has been returned and the FnF settlement is complete.</w:t>
      </w:r>
    </w:p>
    <w:p>
      <w:pPr>
        <w:pStyle w:val="Heading2"/>
      </w:pPr>
      <w:r>
        <w:t>8.3 Reference for background checks</w:t>
      </w:r>
    </w:p>
    <w:p>
      <w:r>
        <w:t>For background checks by future employers, Zuqah Technologies will confirm: employment dates, job title, and whether the employee is eligible for rehire. Detailed performance references require written consent from the former employee.</w:t>
      </w:r>
    </w:p>
    <w:p>
      <w:pPr>
        <w:pStyle w:val="Heading1"/>
      </w:pPr>
      <w:r>
        <w:t>9. Post-employment obligations</w:t>
      </w:r>
    </w:p>
    <w:p>
      <w:r>
        <w:t>The employment contract may contain obligations that survive termination, including:</w:t>
      </w:r>
    </w:p>
    <w:p>
      <w:pPr>
        <w:pStyle w:val="ListBullet"/>
      </w:pPr>
      <w:r>
        <w:t>Confidentiality: Company information, trade secrets and client details</w:t>
      </w:r>
    </w:p>
    <w:p>
      <w:r>
        <w:t>remain confidential after leaving</w:t>
      </w:r>
    </w:p>
    <w:p>
      <w:pPr>
        <w:pStyle w:val="ListBullet"/>
      </w:pPr>
      <w:r>
        <w:t>Non-solicitation: Restrictions on soliciting Zuqah Technologies</w:t>
      </w:r>
    </w:p>
    <w:p>
      <w:r>
        <w:t>employees or clients for a specified period (as per the contract)</w:t>
      </w:r>
    </w:p>
    <w:p>
      <w:pPr>
        <w:pStyle w:val="ListBullet"/>
      </w:pPr>
      <w:r>
        <w:t>Intellectual property: Work created during employment remains the</w:t>
      </w:r>
    </w:p>
    <w:p>
      <w:r>
        <w:t>property of Zuqah Technologies</w:t>
      </w:r>
    </w:p>
    <w:p>
      <w:r>
        <w:t>Employees should review their employment contract for the specific terms applicable to them.</w:t>
      </w:r>
    </w:p>
    <w:p>
      <w:pPr>
        <w:pStyle w:val="Heading1"/>
      </w:pPr>
      <w:r>
        <w:t>10. Alumni network</w:t>
      </w:r>
    </w:p>
    <w:p>
      <w:r>
        <w:t>Former Zuqah Technologies employees are welcome to stay connected via the LinkedIn alumni group. People Operations will share an invitation during the offboarding process.</w:t>
      </w:r>
    </w:p>
    <w:p>
      <w:r>
        <w:rPr>
          <w:i/>
          <w:color w:val="94A3B8"/>
          <w:sz w:val="16"/>
        </w:rPr>
        <w:t>Sample content for demonstration purposes. Zuqah Technologies is a fictional company and this document describes no real organisation's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