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Paid Time Off and Leave Policy</w:t>
      </w:r>
    </w:p>
    <w:p>
      <w:r>
        <w:rPr>
          <w:color w:val="64748B"/>
          <w:sz w:val="17"/>
        </w:rPr>
        <w:t>Version 5.3  |  Owner: People Operations  |  Effective 2026-01-01  |  Next review 2027-01-01</w:t>
      </w:r>
    </w:p>
    <w:p>
      <w:pPr>
        <w:pStyle w:val="Heading1"/>
      </w:pPr>
      <w:r>
        <w:t>1. Purpose and scope</w:t>
      </w:r>
    </w:p>
    <w:p>
      <w:r>
        <w:t>This policy sets out annual leave entitlement, how it is accrued and booked, and the other categories of leave Zuqah Technologies provides. It applies to all permanent employees. Contractors are covered by their individual agreements.</w:t>
      </w:r>
    </w:p>
    <w:p>
      <w:r>
        <w:t>Where local law provides more than this policy, local law applies and the difference is administered automatically. Employees do not need to request this.</w:t>
      </w:r>
    </w:p>
    <w:p>
      <w:pPr>
        <w:pStyle w:val="Heading1"/>
      </w:pPr>
      <w:r>
        <w:t>2. Annual leave entitlement</w:t>
      </w:r>
    </w:p>
    <w:tbl>
      <w:tblPr>
        <w:tblStyle w:val="LightGrid-Accent1"/>
        <w:tblW w:type="auto" w:w="0"/>
        <w:tblLook w:firstColumn="1" w:firstRow="1" w:lastColumn="0" w:lastRow="0" w:noHBand="0" w:noVBand="1" w:val="04A0"/>
      </w:tblPr>
      <w:tblGrid>
        <w:gridCol w:w="4320"/>
        <w:gridCol w:w="4320"/>
      </w:tblGrid>
      <w:tr>
        <w:tc>
          <w:tcPr>
            <w:tcW w:type="dxa" w:w="4320"/>
          </w:tcPr>
          <w:p>
            <w:r>
              <w:t>Length of service</w:t>
            </w:r>
          </w:p>
        </w:tc>
        <w:tc>
          <w:tcPr>
            <w:tcW w:type="dxa" w:w="4320"/>
          </w:tcPr>
          <w:p>
            <w:r>
              <w:t>Annual entitlement</w:t>
            </w:r>
          </w:p>
        </w:tc>
      </w:tr>
      <w:tr>
        <w:tc>
          <w:tcPr>
            <w:tcW w:type="dxa" w:w="4320"/>
          </w:tcPr>
          <w:p>
            <w:r>
              <w:t>Under 2 years</w:t>
            </w:r>
          </w:p>
        </w:tc>
        <w:tc>
          <w:tcPr>
            <w:tcW w:type="dxa" w:w="4320"/>
          </w:tcPr>
          <w:p>
            <w:r>
              <w:t>25 days</w:t>
            </w:r>
          </w:p>
        </w:tc>
      </w:tr>
      <w:tr>
        <w:tc>
          <w:tcPr>
            <w:tcW w:type="dxa" w:w="4320"/>
          </w:tcPr>
          <w:p>
            <w:r>
              <w:t>2 years and over</w:t>
            </w:r>
          </w:p>
        </w:tc>
        <w:tc>
          <w:tcPr>
            <w:tcW w:type="dxa" w:w="4320"/>
          </w:tcPr>
          <w:p>
            <w:r>
              <w:t>28 days</w:t>
            </w:r>
          </w:p>
        </w:tc>
      </w:tr>
      <w:tr>
        <w:tc>
          <w:tcPr>
            <w:tcW w:type="dxa" w:w="4320"/>
          </w:tcPr>
          <w:p>
            <w:r>
              <w:t>5 years and over</w:t>
            </w:r>
          </w:p>
        </w:tc>
        <w:tc>
          <w:tcPr>
            <w:tcW w:type="dxa" w:w="4320"/>
          </w:tcPr>
          <w:p>
            <w:r>
              <w:t>30 days</w:t>
            </w:r>
          </w:p>
        </w:tc>
      </w:tr>
    </w:tbl>
    <w:p>
      <w:r>
        <w:t>Entitlement is expressed in working days and excludes public holidays in the employee's location.</w:t>
      </w:r>
    </w:p>
    <w:p>
      <w:r>
        <w:t>Increases take effect on the 1 January following the service anniversary, not on the anniversary itself. An employee reaching two years in June 2026 is entitled to 28 days from 1 January 2027.</w:t>
      </w:r>
    </w:p>
    <w:p>
      <w:r>
        <w:t>Part-time employees receive a pro-rata entitlement rounded up to the nearest half day.</w:t>
      </w:r>
    </w:p>
    <w:p>
      <w:pPr>
        <w:pStyle w:val="Heading1"/>
      </w:pPr>
      <w:r>
        <w:t>3. Accrual</w:t>
      </w:r>
    </w:p>
    <w:p>
      <w:r>
        <w:t>Leave accrues monthly at one twelfth of the annual entitlement, on the first of each month.</w:t>
      </w:r>
    </w:p>
    <w:p>
      <w:r>
        <w:t>New starters may book leave before it has accrued, up to 5 days in advance, with manager approval. Any leave taken but not accrued at the point of leaving Zuqah Technologies is deducted from the final salary payment.</w:t>
      </w:r>
    </w:p>
    <w:p>
      <w:pPr>
        <w:pStyle w:val="Heading1"/>
      </w:pPr>
      <w:r>
        <w:t>4. Booking leave</w:t>
      </w:r>
    </w:p>
    <w:p>
      <w:pPr>
        <w:pStyle w:val="ListBullet"/>
      </w:pPr>
      <w:r>
        <w:t>1. Submit the request in the HR portal.</w:t>
      </w:r>
    </w:p>
    <w:p>
      <w:pPr>
        <w:pStyle w:val="ListBullet"/>
      </w:pPr>
      <w:r>
        <w:t>2. Your manager approves or declines within 5 business days.</w:t>
      </w:r>
    </w:p>
    <w:p>
      <w:pPr>
        <w:pStyle w:val="ListBullet"/>
      </w:pPr>
      <w:r>
        <w:t>3. Approved leave appears in your calendar and in the team availability view.</w:t>
      </w:r>
    </w:p>
    <w:p>
      <w:r>
        <w:t>Requests should be submitted with reasonable notice, defined as at least the length of the absence itself — one week's notice for a week's leave. This is guidance rather than a rule; managers may accommodate shorter notice.</w:t>
      </w:r>
    </w:p>
    <w:p>
      <w:r>
        <w:t>A manager may decline a request where the absence would leave a client engagement uncovered. A declined request must be accompanied by a reason and, where possible, an alternative period that would be approved.</w:t>
      </w:r>
    </w:p>
    <w:p>
      <w:pPr>
        <w:pStyle w:val="Heading1"/>
      </w:pPr>
      <w:r>
        <w:t>5. Carry-forward</w:t>
      </w:r>
    </w:p>
    <w:p>
      <w:r>
        <w:t>Up to 5 days of unused annual leave may be carried into the following year. Carry-forward is automatic; there is nothing to request.</w:t>
      </w:r>
    </w:p>
    <w:p>
      <w:r>
        <w:t>Carried days must be used by 31 March. Days not used by that date are lost. They are not paid in lieu and cannot be carried a second time.</w:t>
      </w:r>
    </w:p>
    <w:p>
      <w:r>
        <w:t>Carry-forward beyond 5 days is permitted only where leave could not be taken because of business demands, and requires approval from both the line manager and People Operations before 31 December.</w:t>
      </w:r>
    </w:p>
    <w:p>
      <w:pPr>
        <w:pStyle w:val="Heading1"/>
      </w:pPr>
      <w:r>
        <w:t>6. Public holidays</w:t>
      </w:r>
    </w:p>
    <w:p>
      <w:r>
        <w:t>Public holidays follow the employee's country and, where relevant, state or region of residence. The applicable calendar is published in the HR portal each November for the following year.</w:t>
      </w:r>
    </w:p>
    <w:p>
      <w:r>
        <w:t>An employee required to work on a public holiday for a client commitment receives a day in lieu, which must be taken within three months and does not count against the carry-forward limit.</w:t>
      </w:r>
    </w:p>
    <w:p>
      <w:pPr>
        <w:pStyle w:val="Heading1"/>
      </w:pPr>
      <w:r>
        <w:t>7. Sick leave</w:t>
      </w:r>
    </w:p>
    <w:p>
      <w:r>
        <w:t>Zuqah Technologies provides 10 days of paid sick leave per calendar year, separate from annual leave and not accrued monthly — the full allowance is available from the first day of employment.</w:t>
      </w:r>
    </w:p>
    <w:p>
      <w:pPr>
        <w:pStyle w:val="ListBullet"/>
      </w:pPr>
      <w:r>
        <w:t>Absence of 1 to 2 days: notify your manager as early as possible on the</w:t>
      </w:r>
    </w:p>
    <w:p>
      <w:r>
        <w:t>first day. No documentation is required.</w:t>
      </w:r>
    </w:p>
    <w:p>
      <w:pPr>
        <w:pStyle w:val="ListBullet"/>
      </w:pPr>
      <w:r>
        <w:t>Absence of 3 or more consecutive days: a medical certificate is required and</w:t>
      </w:r>
    </w:p>
    <w:p>
      <w:r>
        <w:t>should be submitted to People Operations.</w:t>
      </w:r>
    </w:p>
    <w:p>
      <w:pPr>
        <w:pStyle w:val="ListBullet"/>
      </w:pPr>
      <w:r>
        <w:t>Absence beyond 10 days in a year moves to the long-term absence process,</w:t>
      </w:r>
    </w:p>
    <w:p>
      <w:r>
        <w:t>which People Operations initiates. Employees are not expected to manage this   themselves.</w:t>
      </w:r>
    </w:p>
    <w:p>
      <w:r>
        <w:t>Sick leave does not carry forward and is not paid out.</w:t>
      </w:r>
    </w:p>
    <w:p>
      <w:pPr>
        <w:pStyle w:val="Heading1"/>
      </w:pPr>
      <w:r>
        <w:t>8. Other categories of leave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Entitlement</w:t>
            </w:r>
          </w:p>
        </w:tc>
        <w:tc>
          <w:tcPr>
            <w:tcW w:type="dxa" w:w="2880"/>
          </w:tcPr>
          <w:p>
            <w:r>
              <w:t>Notes</w:t>
            </w:r>
          </w:p>
        </w:tc>
      </w:tr>
      <w:tr>
        <w:tc>
          <w:tcPr>
            <w:tcW w:type="dxa" w:w="2880"/>
          </w:tcPr>
          <w:p>
            <w:r>
              <w:t>Bereavement</w:t>
            </w:r>
          </w:p>
        </w:tc>
        <w:tc>
          <w:tcPr>
            <w:tcW w:type="dxa" w:w="2880"/>
          </w:tcPr>
          <w:p>
            <w:r>
              <w:t>5 days, immediate family</w:t>
            </w:r>
          </w:p>
        </w:tc>
        <w:tc>
          <w:tcPr>
            <w:tcW w:type="dxa" w:w="2880"/>
          </w:tcPr>
          <w:p>
            <w:r>
              <w:t>Extended by agreement where travel is required</w:t>
            </w:r>
          </w:p>
        </w:tc>
      </w:tr>
      <w:tr>
        <w:tc>
          <w:tcPr>
            <w:tcW w:type="dxa" w:w="2880"/>
          </w:tcPr>
          <w:p>
            <w:r>
              <w:t>Jury service</w:t>
            </w:r>
          </w:p>
        </w:tc>
        <w:tc>
          <w:tcPr>
            <w:tcW w:type="dxa" w:w="2880"/>
          </w:tcPr>
          <w:p>
            <w:r>
              <w:t>As required</w:t>
            </w:r>
          </w:p>
        </w:tc>
        <w:tc>
          <w:tcPr>
            <w:tcW w:type="dxa" w:w="2880"/>
          </w:tcPr>
          <w:p>
            <w:r>
              <w:t>Paid; provide the court summons</w:t>
            </w:r>
          </w:p>
        </w:tc>
      </w:tr>
      <w:tr>
        <w:tc>
          <w:tcPr>
            <w:tcW w:type="dxa" w:w="2880"/>
          </w:tcPr>
          <w:p>
            <w:r>
              <w:t>Study leave</w:t>
            </w:r>
          </w:p>
        </w:tc>
        <w:tc>
          <w:tcPr>
            <w:tcW w:type="dxa" w:w="2880"/>
          </w:tcPr>
          <w:p>
            <w:r>
              <w:t>5 days per year</w:t>
            </w:r>
          </w:p>
        </w:tc>
        <w:tc>
          <w:tcPr>
            <w:tcW w:type="dxa" w:w="2880"/>
          </w:tcPr>
          <w:p>
            <w:r>
              <w:t>For approved professional certification</w:t>
            </w:r>
          </w:p>
        </w:tc>
      </w:tr>
      <w:tr>
        <w:tc>
          <w:tcPr>
            <w:tcW w:type="dxa" w:w="2880"/>
          </w:tcPr>
          <w:p>
            <w:r>
              <w:t>Volunteering</w:t>
            </w:r>
          </w:p>
        </w:tc>
        <w:tc>
          <w:tcPr>
            <w:tcW w:type="dxa" w:w="2880"/>
          </w:tcPr>
          <w:p>
            <w:r>
              <w:t>2 days per year</w:t>
            </w:r>
          </w:p>
        </w:tc>
        <w:tc>
          <w:tcPr>
            <w:tcW w:type="dxa" w:w="2880"/>
          </w:tcPr>
          <w:p>
            <w:r>
              <w:t>Any registered charity</w:t>
            </w:r>
          </w:p>
        </w:tc>
      </w:tr>
      <w:tr>
        <w:tc>
          <w:tcPr>
            <w:tcW w:type="dxa" w:w="2880"/>
          </w:tcPr>
          <w:p>
            <w:r>
              <w:t>Moving house</w:t>
            </w:r>
          </w:p>
        </w:tc>
        <w:tc>
          <w:tcPr>
            <w:tcW w:type="dxa" w:w="2880"/>
          </w:tcPr>
          <w:p>
            <w:r>
              <w:t>1 day per year</w:t>
            </w:r>
          </w:p>
        </w:tc>
        <w:tc>
          <w:tcPr>
            <w:tcW w:type="dxa" w:w="2880"/>
          </w:tcPr>
          <w:p>
            <w:r/>
          </w:p>
        </w:tc>
      </w:tr>
      <w:tr>
        <w:tc>
          <w:tcPr>
            <w:tcW w:type="dxa" w:w="2880"/>
          </w:tcPr>
          <w:p>
            <w:r>
              <w:t>Unpaid leave</w:t>
            </w:r>
          </w:p>
        </w:tc>
        <w:tc>
          <w:tcPr>
            <w:tcW w:type="dxa" w:w="2880"/>
          </w:tcPr>
          <w:p>
            <w:r>
              <w:t>By agreement</w:t>
            </w:r>
          </w:p>
        </w:tc>
        <w:tc>
          <w:tcPr>
            <w:tcW w:type="dxa" w:w="2880"/>
          </w:tcPr>
          <w:p>
            <w:r>
              <w:t>Manager and People Operations approval required</w:t>
            </w:r>
          </w:p>
        </w:tc>
      </w:tr>
    </w:tbl>
    <w:p>
      <w:pPr>
        <w:pStyle w:val="Heading1"/>
      </w:pPr>
      <w:r>
        <w:t>9. Leave during notice periods</w:t>
      </w:r>
    </w:p>
    <w:p>
      <w:r>
        <w:t>Annual leave may be taken during a notice period with manager approval. Zuqah Technologies may also require accrued leave to be taken during notice, in which case at least two weeks' notice is given.</w:t>
      </w:r>
    </w:p>
    <w:p>
      <w:r>
        <w:t>Untaken accrued leave is paid in the final salary payment. Carried-forward days from the previous year are not paid out.</w:t>
      </w:r>
    </w:p>
    <w:p>
      <w:pPr>
        <w:pStyle w:val="Heading1"/>
      </w:pPr>
      <w:r>
        <w:t>10. Questions</w:t>
      </w:r>
    </w:p>
    <w:p>
      <w:r>
        <w:t>Questions about entitlement, accrued balance or a specific request should go to People Operations through the HR portal. Balance is visible in the HR portal at any time and does not require a request to check.</w:t>
      </w:r>
    </w:p>
    <w:p>
      <w:r>
        <w:t>this document describes no real organisation's policy.*</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