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Travel Booking Procedure</w:t>
      </w:r>
    </w:p>
    <w:p>
      <w:r>
        <w:rPr>
          <w:color w:val="64748B"/>
          <w:sz w:val="17"/>
        </w:rPr>
        <w:t>Version 1.0  |  Owner: Finance  |  Effective 2026-01-01  |  Next review 2027-01-01</w:t>
      </w:r>
    </w:p>
    <w:p>
      <w:pPr>
        <w:pStyle w:val="Heading1"/>
      </w:pPr>
      <w:r>
        <w:t>1. Purpose</w:t>
      </w:r>
    </w:p>
    <w:p>
      <w:r>
        <w:t>The Expense and Travel Policy sets the limits for what Zuqah Technologies will reimburse. This document explains how to book travel — which tools to use, when approval is needed and how to handle changes and cancellations.</w:t>
      </w:r>
    </w:p>
    <w:p>
      <w:pPr>
        <w:pStyle w:val="Heading1"/>
      </w:pPr>
      <w:r>
        <w:t>2. Booking tools</w:t>
      </w:r>
    </w:p>
    <w:p>
      <w:r>
        <w:t>All business travel must be booked through approved channels:</w:t>
      </w:r>
    </w:p>
    <w:tbl>
      <w:tblPr>
        <w:tblStyle w:val="LightGrid-Accent1"/>
        <w:tblW w:type="auto" w:w="0"/>
        <w:tblLook w:firstColumn="1" w:firstRow="1" w:lastColumn="0" w:lastRow="0" w:noHBand="0" w:noVBand="1" w:val="04A0"/>
      </w:tblPr>
      <w:tblGrid>
        <w:gridCol w:w="4320"/>
        <w:gridCol w:w="4320"/>
      </w:tblGrid>
      <w:tr>
        <w:tc>
          <w:tcPr>
            <w:tcW w:type="dxa" w:w="4320"/>
          </w:tcPr>
          <w:p>
            <w:r>
              <w:t>Travel type</w:t>
            </w:r>
          </w:p>
        </w:tc>
        <w:tc>
          <w:tcPr>
            <w:tcW w:type="dxa" w:w="4320"/>
          </w:tcPr>
          <w:p>
            <w:r>
              <w:t>Booking method</w:t>
            </w:r>
          </w:p>
        </w:tc>
      </w:tr>
      <w:tr>
        <w:tc>
          <w:tcPr>
            <w:tcW w:type="dxa" w:w="4320"/>
          </w:tcPr>
          <w:p>
            <w:r>
              <w:t>Flights (domestic)</w:t>
            </w:r>
          </w:p>
        </w:tc>
        <w:tc>
          <w:tcPr>
            <w:tcW w:type="dxa" w:w="4320"/>
          </w:tcPr>
          <w:p>
            <w:r>
              <w:t>Company travel portal or approved travel agent</w:t>
            </w:r>
          </w:p>
        </w:tc>
      </w:tr>
      <w:tr>
        <w:tc>
          <w:tcPr>
            <w:tcW w:type="dxa" w:w="4320"/>
          </w:tcPr>
          <w:p>
            <w:r>
              <w:t>Flights (international)</w:t>
            </w:r>
          </w:p>
        </w:tc>
        <w:tc>
          <w:tcPr>
            <w:tcW w:type="dxa" w:w="4320"/>
          </w:tcPr>
          <w:p>
            <w:r>
              <w:t>Company travel agent only — contact travel@zuqahtechnologies.com</w:t>
            </w:r>
          </w:p>
        </w:tc>
      </w:tr>
      <w:tr>
        <w:tc>
          <w:tcPr>
            <w:tcW w:type="dxa" w:w="4320"/>
          </w:tcPr>
          <w:p>
            <w:r>
              <w:t>Train</w:t>
            </w:r>
          </w:p>
        </w:tc>
        <w:tc>
          <w:tcPr>
            <w:tcW w:type="dxa" w:w="4320"/>
          </w:tcPr>
          <w:p>
            <w:r>
              <w:t>Book directly via IRCTC or the app; expense claim after</w:t>
            </w:r>
          </w:p>
        </w:tc>
      </w:tr>
      <w:tr>
        <w:tc>
          <w:tcPr>
            <w:tcW w:type="dxa" w:w="4320"/>
          </w:tcPr>
          <w:p>
            <w:r>
              <w:t>Hotels</w:t>
            </w:r>
          </w:p>
        </w:tc>
        <w:tc>
          <w:tcPr>
            <w:tcW w:type="dxa" w:w="4320"/>
          </w:tcPr>
          <w:p>
            <w:r>
              <w:t>Company travel portal or directly (prefer negotiated properties where available)</w:t>
            </w:r>
          </w:p>
        </w:tc>
      </w:tr>
      <w:tr>
        <w:tc>
          <w:tcPr>
            <w:tcW w:type="dxa" w:w="4320"/>
          </w:tcPr>
          <w:p>
            <w:r>
              <w:t>Local cab / ride-hailing</w:t>
            </w:r>
          </w:p>
        </w:tc>
        <w:tc>
          <w:tcPr>
            <w:tcW w:type="dxa" w:w="4320"/>
          </w:tcPr>
          <w:p>
            <w:r>
              <w:t>Uber, Ola or auto for travel within the city; expense claim after</w:t>
            </w:r>
          </w:p>
        </w:tc>
      </w:tr>
      <w:tr>
        <w:tc>
          <w:tcPr>
            <w:tcW w:type="dxa" w:w="4320"/>
          </w:tcPr>
          <w:p>
            <w:r>
              <w:t>Car rental</w:t>
            </w:r>
          </w:p>
        </w:tc>
        <w:tc>
          <w:tcPr>
            <w:tcW w:type="dxa" w:w="4320"/>
          </w:tcPr>
          <w:p>
            <w:r>
              <w:t>Approved vendor list in the travel portal</w:t>
            </w:r>
          </w:p>
        </w:tc>
      </w:tr>
    </w:tbl>
    <w:p>
      <w:r>
        <w:t>Do not book travel on personal travel sites (MakeMyTrip personal, Booking.com for hotels, etc.) without confirming with Finance first — rates and policies may differ, and some personal bookings are not eligible for reimbursement.</w:t>
      </w:r>
    </w:p>
    <w:p>
      <w:pPr>
        <w:pStyle w:val="Heading1"/>
      </w:pPr>
      <w:r>
        <w:t>3. Pre-approval</w:t>
      </w:r>
    </w:p>
    <w:p>
      <w:pPr>
        <w:pStyle w:val="Heading2"/>
      </w:pPr>
      <w:r>
        <w:t>3.1 Domestic travel</w:t>
      </w:r>
    </w:p>
    <w:p>
      <w:r>
        <w:t>Domestic travel does not require advance approval if:</w:t>
      </w:r>
    </w:p>
    <w:p>
      <w:pPr>
        <w:pStyle w:val="ListBullet"/>
      </w:pPr>
      <w:r>
        <w:t>The trip is within the employee's normal work responsibilities</w:t>
      </w:r>
    </w:p>
    <w:p>
      <w:pPr>
        <w:pStyle w:val="ListBullet"/>
      </w:pPr>
      <w:r>
        <w:t>The estimated cost falls within the limits in the Expense and Travel Policy</w:t>
      </w:r>
    </w:p>
    <w:p>
      <w:r>
        <w:t>The employee's manager must be informed of travel plans at least 3 working days in advance for trips that take the employee out of the office for more than one day.</w:t>
      </w:r>
    </w:p>
    <w:p>
      <w:pPr>
        <w:pStyle w:val="Heading2"/>
      </w:pPr>
      <w:r>
        <w:t>3.2 International travel</w:t>
      </w:r>
    </w:p>
    <w:p>
      <w:r>
        <w:t>All international travel requires pre-approval, regardless of cost. Submit a travel approval request through the HR portal under Travel → International Travel Request. Include:</w:t>
      </w:r>
    </w:p>
    <w:p>
      <w:pPr>
        <w:pStyle w:val="ListBullet"/>
      </w:pPr>
      <w:r>
        <w:t>Destination and dates</w:t>
      </w:r>
    </w:p>
    <w:p>
      <w:pPr>
        <w:pStyle w:val="ListBullet"/>
      </w:pPr>
      <w:r>
        <w:t>Business purpose</w:t>
      </w:r>
    </w:p>
    <w:p>
      <w:pPr>
        <w:pStyle w:val="ListBullet"/>
      </w:pPr>
      <w:r>
        <w:t>Estimated total cost (flights, hotel, per diem)</w:t>
      </w:r>
    </w:p>
    <w:p>
      <w:pPr>
        <w:pStyle w:val="ListBullet"/>
      </w:pPr>
      <w:r>
        <w:t>Manager and Finance sign-off</w:t>
      </w:r>
    </w:p>
    <w:p>
      <w:r>
        <w:t>Submit at least 10 working days before the intended travel date. International travel approval takes up to 5 working days.</w:t>
      </w:r>
    </w:p>
    <w:p>
      <w:pPr>
        <w:pStyle w:val="Heading2"/>
      </w:pPr>
      <w:r>
        <w:t>3.3 Travel exceeding ₹50,000</w:t>
      </w:r>
    </w:p>
    <w:p>
      <w:r>
        <w:t>Any single trip with an estimated total cost above ₹50,000 requires Finance Director approval, regardless of whether it is domestic or international.</w:t>
      </w:r>
    </w:p>
    <w:p>
      <w:pPr>
        <w:pStyle w:val="Heading1"/>
      </w:pPr>
      <w:r>
        <w:t>4. Booking flights</w:t>
      </w:r>
    </w:p>
    <w:p>
      <w:pPr>
        <w:pStyle w:val="Heading2"/>
      </w:pPr>
      <w:r>
        <w:t>4.1 Class of travel</w:t>
      </w:r>
    </w:p>
    <w:tbl>
      <w:tblPr>
        <w:tblStyle w:val="LightGrid-Accent1"/>
        <w:tblW w:type="auto" w:w="0"/>
        <w:tblLook w:firstColumn="1" w:firstRow="1" w:lastColumn="0" w:lastRow="0" w:noHBand="0" w:noVBand="1" w:val="04A0"/>
      </w:tblPr>
      <w:tblGrid>
        <w:gridCol w:w="4320"/>
        <w:gridCol w:w="4320"/>
      </w:tblGrid>
      <w:tr>
        <w:tc>
          <w:tcPr>
            <w:tcW w:type="dxa" w:w="4320"/>
          </w:tcPr>
          <w:p>
            <w:r>
              <w:t>Journey duration</w:t>
            </w:r>
          </w:p>
        </w:tc>
        <w:tc>
          <w:tcPr>
            <w:tcW w:type="dxa" w:w="4320"/>
          </w:tcPr>
          <w:p>
            <w:r>
              <w:t>Permitted class</w:t>
            </w:r>
          </w:p>
        </w:tc>
      </w:tr>
      <w:tr>
        <w:tc>
          <w:tcPr>
            <w:tcW w:type="dxa" w:w="4320"/>
          </w:tcPr>
          <w:p>
            <w:r>
              <w:t>Under 5 hours</w:t>
            </w:r>
          </w:p>
        </w:tc>
        <w:tc>
          <w:tcPr>
            <w:tcW w:type="dxa" w:w="4320"/>
          </w:tcPr>
          <w:p>
            <w:r>
              <w:t>Economy</w:t>
            </w:r>
          </w:p>
        </w:tc>
      </w:tr>
      <w:tr>
        <w:tc>
          <w:tcPr>
            <w:tcW w:type="dxa" w:w="4320"/>
          </w:tcPr>
          <w:p>
            <w:r>
              <w:t>5 hours or more (direct)</w:t>
            </w:r>
          </w:p>
        </w:tc>
        <w:tc>
          <w:tcPr>
            <w:tcW w:type="dxa" w:w="4320"/>
          </w:tcPr>
          <w:p>
            <w:r>
              <w:t>Economy (business class requires MD/CEO approval)</w:t>
            </w:r>
          </w:p>
        </w:tc>
      </w:tr>
      <w:tr>
        <w:tc>
          <w:tcPr>
            <w:tcW w:type="dxa" w:w="4320"/>
          </w:tcPr>
          <w:p>
            <w:r>
              <w:t>International, overnight</w:t>
            </w:r>
          </w:p>
        </w:tc>
        <w:tc>
          <w:tcPr>
            <w:tcW w:type="dxa" w:w="4320"/>
          </w:tcPr>
          <w:p>
            <w:r>
              <w:t>Economy (Premium economy with Finance Director approval)</w:t>
            </w:r>
          </w:p>
        </w:tc>
      </w:tr>
    </w:tbl>
    <w:p>
      <w:r>
        <w:t>Loyalty programme points may be used to upgrade, but Zuqah Technologies will not pay the difference for a higher class than permitted.</w:t>
      </w:r>
    </w:p>
    <w:p>
      <w:pPr>
        <w:pStyle w:val="Heading2"/>
      </w:pPr>
      <w:r>
        <w:t>4.2 Advance booking</w:t>
      </w:r>
    </w:p>
    <w:p>
      <w:r>
        <w:t>Book flights as early as practicable. Flights booked within 3 days of departure are substantially more expensive and will be queried by Finance. Same-day or next-day bookings require manager sign-off before purchase.</w:t>
      </w:r>
    </w:p>
    <w:p>
      <w:pPr>
        <w:pStyle w:val="Heading2"/>
      </w:pPr>
      <w:r>
        <w:t>4.3 Preferred airports and routes</w:t>
      </w:r>
    </w:p>
    <w:p>
      <w:r>
        <w:t>Use the most direct route to the destination. Routing through preferred hubs for loyalty programme reasons is not permitted where it adds cost.</w:t>
      </w:r>
    </w:p>
    <w:p>
      <w:pPr>
        <w:pStyle w:val="Heading1"/>
      </w:pPr>
      <w:r>
        <w:t>5. Hotels</w:t>
      </w:r>
    </w:p>
    <w:p>
      <w:pPr>
        <w:pStyle w:val="Heading2"/>
      </w:pPr>
      <w:r>
        <w:t>5.1 Nightly rate limits</w:t>
      </w:r>
    </w:p>
    <w:tbl>
      <w:tblPr>
        <w:tblStyle w:val="LightGrid-Accent1"/>
        <w:tblW w:type="auto" w:w="0"/>
        <w:tblLook w:firstColumn="1" w:firstRow="1" w:lastColumn="0" w:lastRow="0" w:noHBand="0" w:noVBand="1" w:val="04A0"/>
      </w:tblPr>
      <w:tblGrid>
        <w:gridCol w:w="4320"/>
        <w:gridCol w:w="4320"/>
      </w:tblGrid>
      <w:tr>
        <w:tc>
          <w:tcPr>
            <w:tcW w:type="dxa" w:w="4320"/>
          </w:tcPr>
          <w:p>
            <w:r>
              <w:t>City</w:t>
            </w:r>
          </w:p>
        </w:tc>
        <w:tc>
          <w:tcPr>
            <w:tcW w:type="dxa" w:w="4320"/>
          </w:tcPr>
          <w:p>
            <w:r>
              <w:t>Per-night limit (room only, incl. taxes)</w:t>
            </w:r>
          </w:p>
        </w:tc>
      </w:tr>
      <w:tr>
        <w:tc>
          <w:tcPr>
            <w:tcW w:type="dxa" w:w="4320"/>
          </w:tcPr>
          <w:p>
            <w:r>
              <w:t>Mumbai, Delhi, Bengaluru, Hyderabad</w:t>
            </w:r>
          </w:p>
        </w:tc>
        <w:tc>
          <w:tcPr>
            <w:tcW w:type="dxa" w:w="4320"/>
          </w:tcPr>
          <w:p>
            <w:r>
              <w:t>₹6,000</w:t>
            </w:r>
          </w:p>
        </w:tc>
      </w:tr>
      <w:tr>
        <w:tc>
          <w:tcPr>
            <w:tcW w:type="dxa" w:w="4320"/>
          </w:tcPr>
          <w:p>
            <w:r>
              <w:t>Other Tier 1 cities</w:t>
            </w:r>
          </w:p>
        </w:tc>
        <w:tc>
          <w:tcPr>
            <w:tcW w:type="dxa" w:w="4320"/>
          </w:tcPr>
          <w:p>
            <w:r>
              <w:t>₹4,500</w:t>
            </w:r>
          </w:p>
        </w:tc>
      </w:tr>
      <w:tr>
        <w:tc>
          <w:tcPr>
            <w:tcW w:type="dxa" w:w="4320"/>
          </w:tcPr>
          <w:p>
            <w:r>
              <w:t>Other cities</w:t>
            </w:r>
          </w:p>
        </w:tc>
        <w:tc>
          <w:tcPr>
            <w:tcW w:type="dxa" w:w="4320"/>
          </w:tcPr>
          <w:p>
            <w:r>
              <w:t>₹3,000</w:t>
            </w:r>
          </w:p>
        </w:tc>
      </w:tr>
      <w:tr>
        <w:tc>
          <w:tcPr>
            <w:tcW w:type="dxa" w:w="4320"/>
          </w:tcPr>
          <w:p>
            <w:r>
              <w:t>International</w:t>
            </w:r>
          </w:p>
        </w:tc>
        <w:tc>
          <w:tcPr>
            <w:tcW w:type="dxa" w:w="4320"/>
          </w:tcPr>
          <w:p>
            <w:r>
              <w:t>As per country per diem schedule (see Finance)</w:t>
            </w:r>
          </w:p>
        </w:tc>
      </w:tr>
    </w:tbl>
    <w:p>
      <w:pPr>
        <w:pStyle w:val="Heading2"/>
      </w:pPr>
      <w:r>
        <w:t>5.2 Preferred properties</w:t>
      </w:r>
    </w:p>
    <w:p>
      <w:r>
        <w:t>Zuqah Technologies has negotiated rates with a small number of hotel chains. The preferred property list is in the travel portal. Use a preferred property if one is available and convenient for the business location.</w:t>
      </w:r>
    </w:p>
    <w:p>
      <w:pPr>
        <w:pStyle w:val="Heading2"/>
      </w:pPr>
      <w:r>
        <w:t>5.3 Duration</w:t>
      </w:r>
    </w:p>
    <w:p>
      <w:r>
        <w:t>Book hotels only for the nights that business activity requires. Staying additional nights for personal reasons is not reimbursed.</w:t>
      </w:r>
    </w:p>
    <w:p>
      <w:pPr>
        <w:pStyle w:val="Heading1"/>
      </w:pPr>
      <w:r>
        <w:t>6. Changes and cancellations</w:t>
      </w:r>
    </w:p>
    <w:p>
      <w:pPr>
        <w:pStyle w:val="Heading2"/>
      </w:pPr>
      <w:r>
        <w:t>6.1 How to change a booking</w:t>
      </w:r>
    </w:p>
    <w:p>
      <w:r>
        <w:t>For bookings made through the company travel portal, changes can be made through the same portal. For bookings made through the travel agent, email travel@zuqahtechnologies.com.</w:t>
      </w:r>
    </w:p>
    <w:p>
      <w:pPr>
        <w:pStyle w:val="Heading2"/>
      </w:pPr>
      <w:r>
        <w:t>6.2 Cancellations due to business reasons</w:t>
      </w:r>
    </w:p>
    <w:p>
      <w:r>
        <w:t>Where travel is cancelled for business reasons (client cancels, project delays), any cancellation fees are covered by Zuqah Technologies. Submit the cancellation confirmation with your expense claim and note the business reason.</w:t>
      </w:r>
    </w:p>
    <w:p>
      <w:pPr>
        <w:pStyle w:val="Heading2"/>
      </w:pPr>
      <w:r>
        <w:t>6.3 Cancellations due to personal reasons</w:t>
      </w:r>
    </w:p>
    <w:p>
      <w:r>
        <w:t>Where travel is cancelled for personal reasons after the booking has been made, cancellation fees are the employee's responsibility unless the personal reason is covered by travel insurance (see section 7).</w:t>
      </w:r>
    </w:p>
    <w:p>
      <w:pPr>
        <w:pStyle w:val="Heading1"/>
      </w:pPr>
      <w:r>
        <w:t>7. Travel insurance</w:t>
      </w:r>
    </w:p>
    <w:p>
      <w:r>
        <w:t>Zuqah Technologies provides group travel insurance for all business travel. Coverage includes:</w:t>
      </w:r>
    </w:p>
    <w:p>
      <w:pPr>
        <w:pStyle w:val="ListBullet"/>
      </w:pPr>
      <w:r>
        <w:t>Trip cancellation (covered reasons)</w:t>
      </w:r>
    </w:p>
    <w:p>
      <w:pPr>
        <w:pStyle w:val="ListBullet"/>
      </w:pPr>
      <w:r>
        <w:t>Medical expenses abroad</w:t>
      </w:r>
    </w:p>
    <w:p>
      <w:pPr>
        <w:pStyle w:val="ListBullet"/>
      </w:pPr>
      <w:r>
        <w:t>Emergency evacuation</w:t>
      </w:r>
    </w:p>
    <w:p>
      <w:pPr>
        <w:pStyle w:val="ListBullet"/>
      </w:pPr>
      <w:r>
        <w:t>Delayed or lost baggage</w:t>
      </w:r>
    </w:p>
    <w:p>
      <w:r>
        <w:t>The travel insurance policy document is in the HR portal under Travel → Travel Insurance. Employees should carry a copy of the insurance details card (downloadable from the portal) when travelling internationally.</w:t>
      </w:r>
    </w:p>
    <w:p>
      <w:r>
        <w:t>Medical emergencies abroad: call the insurance assistance number on the card before seeking treatment where possible. Emergency treatment will be arranged and covered.</w:t>
      </w:r>
    </w:p>
    <w:p>
      <w:pPr>
        <w:pStyle w:val="Heading1"/>
      </w:pPr>
      <w:r>
        <w:t>8. Expense claims for travel</w:t>
      </w:r>
    </w:p>
    <w:p>
      <w:r>
        <w:t>All travel expenses must be claimed within 30 days of travel. Claims submitted after 90 days are not reimbursed. See the Expense and Travel Policy for the full reimbursement process and limits.</w:t>
      </w:r>
    </w:p>
    <w:p>
      <w:pPr>
        <w:pStyle w:val="Heading1"/>
      </w:pPr>
      <w:r>
        <w:t>9. Contact</w:t>
      </w:r>
    </w:p>
    <w:p>
      <w:r>
        <w:t>Domestic booking: Company travel portal or travel@zuqahtechnologies.com</w:t>
      </w:r>
    </w:p>
    <w:p>
      <w:r>
        <w:t>International travel: travel@zuqahtechnologies.com</w:t>
      </w:r>
    </w:p>
    <w:p>
      <w:r>
        <w:t>Travel insurance emergencies: Insurance assistance number on the coverage card in the HR portal → Travel → Travel Insurance</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