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referências — "onde eu já vi isso?"</w:t>
      </w:r>
    </w:p>
    <w:p>
      <w:r>
        <w:rPr/>
        <w:t xml:space="preserve">Você não começa do zero: quase tudo o que este projeto pede apareceu nos seus trabalhos anteriores. Esta tabela diz </w:t>
      </w:r>
      <w:r>
        <w:rPr>
          <w:b/>
        </w:rPr>
        <w:t>onde olhar</w:t>
      </w:r>
      <w:r>
        <w:rPr/>
        <w:t xml:space="preserve"> e </w:t>
      </w:r>
      <w:r>
        <w:rPr>
          <w:b/>
        </w:rPr>
        <w:t>o que adaptar</w:t>
      </w:r>
      <w:r>
        <w:rPr/>
        <w:t xml:space="preserve">. (Nomes de arquivos dos trabalhos anteriores: Desafio Transparência e Pata Amiga.) Agora você também tem os roteiros do kit (pasta src/): para cada lacuna, esta tabela diz onde olhar nos trabalhos antigos.</w:t>
      </w:r>
      <w:r>
        <w:rPr>
          <w:i/>
        </w:rPr>
        <w:t xml:space="preserve"/>
      </w:r>
      <w:r>
        <w:rPr/>
        <w:t xml:space="preserve"/>
      </w:r>
      <w:r>
        <w:rPr>
          <w:i/>
        </w:rPr>
        <w:t xml:space="preserve"/>
      </w:r>
      <w:r>
        <w:rPr/>
        <w:t xml:space="preserve"/>
      </w:r>
    </w:p>
    <w:p>
      <w:pPr>
        <w:pStyle w:val="Heading2"/>
      </w:pPr>
      <w:r>
        <w:t>Trabalhos que servem de base</w:t>
      </w:r>
    </w:p>
    <w:p>
      <w:pPr>
        <w:pStyle w:val="ListBullet"/>
        <w:spacing w:after="60"/>
      </w:pPr>
      <w:r>
        <w:rPr>
          <w:b/>
        </w:rPr>
        <w:t>Desafio Transparência (Viagens a Serviço)</w:t>
      </w:r>
      <w:r>
        <w:rPr/>
        <w:t xml:space="preserve"> — </w:t>
      </w:r>
      <w:r>
        <w:rPr>
          <w:rFonts w:ascii="Consolas" w:hAnsi="Consolas" w:eastAsia="Consolas"/>
          <w:sz w:val="20"/>
          <w:shd w:val="clear" w:color="auto" w:fill="EEF1F5"/>
        </w:rPr>
        <w:t>config.py</w:t>
      </w:r>
      <w:r>
        <w:rPr/>
        <w:t xml:space="preserve">, </w:t>
      </w:r>
      <w:r>
        <w:rPr>
          <w:rFonts w:ascii="Consolas" w:hAnsi="Consolas" w:eastAsia="Consolas"/>
          <w:sz w:val="20"/>
          <w:shd w:val="clear" w:color="auto" w:fill="EEF1F5"/>
        </w:rPr>
        <w:t>banco.py</w:t>
      </w:r>
      <w:r>
        <w:rPr/>
        <w:t xml:space="preserve">, </w:t>
      </w:r>
      <w:r>
        <w:rPr>
          <w:rFonts w:ascii="Consolas" w:hAnsi="Consolas" w:eastAsia="Consolas"/>
          <w:sz w:val="20"/>
          <w:shd w:val="clear" w:color="auto" w:fill="EEF1F5"/>
        </w:rPr>
        <w:t>0_criar_banco.sql</w:t>
      </w:r>
      <w:r>
        <w:rPr/>
        <w:t xml:space="preserve">, </w:t>
      </w:r>
      <w:r>
        <w:rPr>
          <w:rFonts w:ascii="Consolas" w:hAnsi="Consolas" w:eastAsia="Consolas"/>
          <w:sz w:val="20"/>
          <w:shd w:val="clear" w:color="auto" w:fill="EEF1F5"/>
        </w:rPr>
        <w:t>1_extrair.py</w:t>
      </w:r>
      <w:r>
        <w:rPr/>
        <w:t xml:space="preserve">, </w:t>
      </w:r>
      <w:r>
        <w:rPr>
          <w:rFonts w:ascii="Consolas" w:hAnsi="Consolas" w:eastAsia="Consolas"/>
          <w:sz w:val="20"/>
          <w:shd w:val="clear" w:color="auto" w:fill="EEF1F5"/>
        </w:rPr>
        <w:t>2_transformar.py</w:t>
      </w:r>
      <w:r>
        <w:rPr/>
        <w:t xml:space="preserve">, </w:t>
      </w:r>
      <w:r>
        <w:rPr>
          <w:rFonts w:ascii="Consolas" w:hAnsi="Consolas" w:eastAsia="Consolas"/>
          <w:sz w:val="20"/>
          <w:shd w:val="clear" w:color="auto" w:fill="EEF1F5"/>
        </w:rPr>
        <w:t>3_analise.ipynb</w:t>
      </w:r>
      <w:r>
        <w:rPr/>
        <w:t>.</w:t>
      </w:r>
    </w:p>
    <w:p>
      <w:pPr>
        <w:pStyle w:val="ListBullet"/>
        <w:spacing w:after="60"/>
      </w:pPr>
      <w:r>
        <w:rPr>
          <w:b/>
        </w:rPr>
        <w:t>Pata Amiga (mini-projeto de DW)</w:t>
      </w:r>
      <w:r>
        <w:rPr/>
        <w:t xml:space="preserve"> — </w:t>
      </w:r>
      <w:r>
        <w:rPr>
          <w:rFonts w:ascii="Consolas" w:hAnsi="Consolas" w:eastAsia="Consolas"/>
          <w:sz w:val="20"/>
          <w:shd w:val="clear" w:color="auto" w:fill="EEF1F5"/>
        </w:rPr>
        <w:t>03-dimensoes.sql</w:t>
      </w:r>
      <w:r>
        <w:rPr/>
        <w:t xml:space="preserve">, </w:t>
      </w:r>
      <w:r>
        <w:rPr>
          <w:rFonts w:ascii="Consolas" w:hAnsi="Consolas" w:eastAsia="Consolas"/>
          <w:sz w:val="20"/>
          <w:shd w:val="clear" w:color="auto" w:fill="EEF1F5"/>
        </w:rPr>
        <w:t>04-fato.sql</w:t>
      </w:r>
      <w:r>
        <w:rPr/>
        <w:t xml:space="preserve">, </w:t>
      </w:r>
      <w:r>
        <w:rPr>
          <w:rFonts w:ascii="Consolas" w:hAnsi="Consolas" w:eastAsia="Consolas"/>
          <w:sz w:val="20"/>
          <w:shd w:val="clear" w:color="auto" w:fill="EEF1F5"/>
        </w:rPr>
        <w:t>05-perguntas.sql</w:t>
      </w:r>
      <w:r>
        <w:rPr/>
        <w:t xml:space="preserve">, </w:t>
      </w:r>
      <w:r>
        <w:rPr>
          <w:rFonts w:ascii="Consolas" w:hAnsi="Consolas" w:eastAsia="Consolas"/>
          <w:sz w:val="20"/>
          <w:shd w:val="clear" w:color="auto" w:fill="EEF1F5"/>
        </w:rPr>
        <w:t>00-conferencia.sql</w:t>
      </w:r>
      <w:r>
        <w:rPr/>
        <w:t xml:space="preserve"> (a ideia de conferir com "valores esperados").</w:t>
      </w:r>
    </w:p>
    <w:p>
      <w:pPr>
        <w:pStyle w:val="Heading2"/>
      </w:pPr>
      <w:r>
        <w:t>Tarefa por tarefa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>Tarefa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>Onde você já viu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>O que adaptar / pensar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Conectar ao banco, ler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.env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config.py</w:t>
            </w:r>
            <w:r>
              <w:rPr>
                <w:sz w:val="20"/>
              </w:rPr>
              <w:t xml:space="preserve"> e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banco.py</w:t>
            </w:r>
            <w:r>
              <w:rPr>
                <w:sz w:val="20"/>
              </w:rPr>
              <w:t xml:space="preserve"> do Transparência (já estão no kit em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src/</w:t>
            </w:r>
            <w:r>
              <w:rPr>
                <w:sz w:val="20"/>
              </w:rPr>
              <w:t>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Nada: use como estão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Ler CSV todo como texto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1_extrair.py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dtype=str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keep_default_na=False</w:t>
            </w:r>
            <w:r>
              <w:rPr>
                <w:sz w:val="20"/>
              </w:rPr>
              <w:t>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Aqui o separador é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,</w:t>
            </w:r>
            <w:r>
              <w:rPr>
                <w:sz w:val="20"/>
              </w:rPr>
              <w:t xml:space="preserve"> e o encoding é UTF-8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Descobrir o que está sujo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00-conferencia.sql</w:t>
            </w:r>
            <w:r>
              <w:rPr>
                <w:sz w:val="20"/>
              </w:rPr>
              <w:t xml:space="preserve"> do Pata Amiga (contar grafias distintas, valores em branco)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Faça o mesmo com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pandas</w:t>
            </w:r>
            <w:r>
              <w:rPr>
                <w:sz w:val="20"/>
              </w:rPr>
              <w:t xml:space="preserve">: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value_counts()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str.contains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nunique()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Tirar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R$</w:t>
            </w:r>
            <w:r>
              <w:rPr>
                <w:sz w:val="20"/>
              </w:rPr>
              <w:t>, ponto de milhar, trocar vírgula por ponto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2_transformar.py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REPLACE(REPLACE(...))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CAST</w:t>
            </w:r>
            <w:r>
              <w:rPr>
                <w:sz w:val="20"/>
              </w:rPr>
              <w:t>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Agora em </w:t>
            </w:r>
            <w:r>
              <w:rPr>
                <w:b/>
                <w:sz w:val="20"/>
              </w:rPr>
              <w:t>Python</w:t>
            </w:r>
            <w:r>
              <w:rPr>
                <w:sz w:val="20"/>
              </w:rPr>
              <w:t xml:space="preserve">. </w:t>
            </w:r>
            <w:r>
              <w:rPr>
                <w:b/>
                <w:sz w:val="20"/>
              </w:rPr>
              <w:t>Cuidado:</w:t>
            </w:r>
            <w:r>
              <w:rPr>
                <w:sz w:val="20"/>
              </w:rPr>
              <w:t xml:space="preserve"> o truque antigo (apagar todos os pontos) estraga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0,754</w:t>
            </w:r>
            <w:r>
              <w:rPr>
                <w:sz w:val="20"/>
              </w:rPr>
              <w:t xml:space="preserve"> e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746.815</w:t>
            </w:r>
            <w:r>
              <w:rPr>
                <w:sz w:val="20"/>
              </w:rPr>
              <w:t xml:space="preserve">. Nesta base, ponto/vírgula </w:t>
            </w:r>
            <w:r>
              <w:rPr>
                <w:b/>
                <w:sz w:val="20"/>
              </w:rPr>
              <w:t>sozinho é decimal</w:t>
            </w:r>
            <w:r>
              <w:rPr>
                <w:sz w:val="20"/>
              </w:rPr>
              <w:t xml:space="preserve"> (veja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casos_de_teste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Converter datas de texto para data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2_transformar.py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STR_TO_DATE</w:t>
            </w:r>
            <w:r>
              <w:rPr>
                <w:sz w:val="20"/>
              </w:rPr>
              <w:t xml:space="preserve">) e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04-fato.sql</w:t>
            </w:r>
            <w:r>
              <w:rPr>
                <w:sz w:val="20"/>
              </w:rPr>
              <w:t xml:space="preserve"> (máscaras de data)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Em Python: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datetime.strptime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pd.to_datetime</w:t>
            </w:r>
            <w:r>
              <w:rPr>
                <w:sz w:val="20"/>
              </w:rPr>
              <w:t xml:space="preserve">. Há </w:t>
            </w:r>
            <w:r>
              <w:rPr>
                <w:b/>
                <w:sz w:val="20"/>
              </w:rPr>
              <w:t>várias máscaras no mesmo campo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Padronizar texto (maiúsculas, espaços, grafias)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03-dimensoes.sql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UPPER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TRIM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CASE WHEN</w:t>
            </w:r>
            <w:r>
              <w:rPr>
                <w:sz w:val="20"/>
              </w:rPr>
              <w:t>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Em Python: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str.upper()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strip()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re.sub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Valores "zumbis" (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N/A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-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04-fato.sql</w:t>
            </w:r>
            <w:r>
              <w:rPr>
                <w:sz w:val="20"/>
              </w:rPr>
              <w:t xml:space="preserve"> (campo em branco → linha -1 / NULL)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Decida o que vira nulo </w:t>
            </w:r>
            <w:r>
              <w:rPr>
                <w:b/>
                <w:sz w:val="20"/>
              </w:rPr>
              <w:t xml:space="preserve">e onde </w:t>
            </w:r>
            <w:r>
              <w:rPr>
                <w:rFonts w:ascii="Consolas" w:hAnsi="Consolas" w:eastAsia="Consolas"/>
                <w:b/>
                <w:sz w:val="18"/>
                <w:shd w:val="clear" w:color="auto" w:fill="EEF1F5"/>
              </w:rPr>
              <w:t>0</w:t>
            </w:r>
            <w:r>
              <w:rPr>
                <w:b/>
                <w:sz w:val="20"/>
              </w:rPr>
              <w:t xml:space="preserve"> é um valor de verdade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Criar tabelas com PK, FK, CHECK, UNIQUE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0_criar_banco.sql</w:t>
            </w:r>
            <w:r>
              <w:rPr>
                <w:sz w:val="20"/>
              </w:rPr>
              <w:t xml:space="preserve"> (camada Silver)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Agora é um </w:t>
            </w:r>
            <w:r>
              <w:rPr>
                <w:b/>
                <w:sz w:val="20"/>
              </w:rPr>
              <w:t>modelo estrela</w:t>
            </w:r>
            <w:r>
              <w:rPr>
                <w:sz w:val="20"/>
              </w:rPr>
              <w:t>: a fato aponta para as dimensões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Dimensão, chave substituta, linha "Não Informado" (-1/0)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03-dimensoes.sql</w:t>
            </w:r>
            <w:r>
              <w:rPr>
                <w:sz w:val="20"/>
              </w:rPr>
              <w:t xml:space="preserve"> do Pata Amiga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Uma fato e 4 dimensões (órgão, fornecedor, modalidade e localidade); o tempo é o Calendário em DAX e item e perfil são colunas da fato. Tabelas e campos: seção 4.3 do enunciado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Tabela fato com FKs e métricas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04-fato.sql</w:t>
            </w:r>
            <w:r>
              <w:rPr>
                <w:sz w:val="20"/>
              </w:rPr>
              <w:t xml:space="preserve"> do Pata Amiga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Defina o </w:t>
            </w:r>
            <w:r>
              <w:rPr>
                <w:b/>
                <w:sz w:val="20"/>
              </w:rPr>
              <w:t>grão</w:t>
            </w:r>
            <w:r>
              <w:rPr>
                <w:sz w:val="20"/>
              </w:rPr>
              <w:t xml:space="preserve"> primeiro </w:t>
            </w:r>
            <w:r>
              <w:rPr>
                <w:sz w:val="20"/>
              </w:rPr>
              <w:t>(veja a regra 1 do enunciado, seção 4.2)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Duas datas na fato (publicação e homologação)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 xml:space="preserve">04-fato.sql (conversão de datas)</w:t>
            </w:r>
            <w:r>
              <w:rPr>
                <w:sz w:val="20"/>
              </w:rPr>
              <w:t xml:space="preserve"/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 xml:space="preserve"/>
            </w:r>
            <w:r>
              <w:rPr>
                <w:sz w:val="20"/>
              </w:rPr>
              <w:t xml:space="preserve"/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São duas colunas de data na mesma fato; o Calendário em DAX se liga às duas (seção 4.6 do enunciado)</w:t>
            </w:r>
            <w:r>
              <w:rPr>
                <w:b/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Carga em lote,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TRUNCATE</w:t>
            </w:r>
            <w:r>
              <w:rPr>
                <w:sz w:val="20"/>
              </w:rPr>
              <w:t>, não duplicar ao rodar de novo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1_extrair.py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carregar_csv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banco.inserir_em_lote</w:t>
            </w:r>
            <w:r>
              <w:rPr>
                <w:sz w:val="20"/>
              </w:rPr>
              <w:t>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Primeiro as dimensões, depois a fato. Troque a chave natural pela chave substituta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Chave substituta gerada pelo banco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AUTO_INCREMENT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IDENTITY</w:t>
            </w:r>
            <w:r>
              <w:rPr>
                <w:sz w:val="20"/>
              </w:rPr>
              <w:t xml:space="preserve"> do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0_criar_banco.sql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Depois da carga das dimensões, </w:t>
            </w:r>
            <w:r>
              <w:rPr>
                <w:b/>
                <w:sz w:val="20"/>
              </w:rPr>
              <w:t>leia de volta</w:t>
            </w:r>
            <w:r>
              <w:rPr>
                <w:sz w:val="20"/>
              </w:rPr>
              <w:t xml:space="preserve"> (natural → surrogate) para montar a fato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Região a partir da UF (pergunta 5)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CASE WHEN</w:t>
            </w:r>
            <w:r>
              <w:rPr>
                <w:sz w:val="20"/>
              </w:rPr>
              <w:t xml:space="preserve"> do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03-dimensoes.sql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O arquivo não traz a região: use a tabela UF → região do anexo do enunciado (seção 7)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 xml:space="preserve"/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Perguntas de negócio com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JOIN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GROUP BY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05-perguntas.sql</w:t>
            </w:r>
            <w:r>
              <w:rPr>
                <w:sz w:val="20"/>
              </w:rPr>
              <w:t xml:space="preserve"> do Pata Amiga;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3_analise.ipynb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Percentual = </w:t>
            </w:r>
            <w:r>
              <w:rPr>
                <w:b/>
                <w:sz w:val="20"/>
              </w:rPr>
              <w:t>soma ÷ soma</w:t>
            </w:r>
            <w:r>
              <w:rPr>
                <w:sz w:val="20"/>
              </w:rPr>
              <w:t>, nunca média de percentuais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Percentual do total (subconsulta ou janela)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05-perguntas.sql</w:t>
            </w:r>
            <w:r>
              <w:rPr>
                <w:sz w:val="20"/>
              </w:rPr>
              <w:t xml:space="preserve"> (subconsulta no denominador)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Pesquise </w:t>
            </w:r>
            <w:r>
              <w:rPr>
                <w:rFonts w:ascii="Consolas" w:hAnsi="Consolas" w:eastAsia="Consolas"/>
                <w:sz w:val="18"/>
                <w:shd w:val="clear" w:color="auto" w:fill="EEF1F5"/>
              </w:rPr>
              <w:t>SUM() OVER ()</w:t>
            </w:r>
            <w:r>
              <w:rPr>
                <w:sz w:val="20"/>
              </w:rPr>
              <w:t xml:space="preserve"> para o acumulado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Conferir se deu certo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00-conferencia.sql</w:t>
            </w:r>
            <w:r>
              <w:rPr>
                <w:sz w:val="20"/>
              </w:rPr>
              <w:t xml:space="preserve"> do Pata Amiga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 xml:space="preserve">Aqui a conferência é o anexo de números (seção 8 do enunciado)</w:t>
            </w:r>
            <w:r>
              <w:rPr>
                <w:rFonts w:ascii="Consolas" w:hAnsi="Consolas" w:eastAsia="Consolas"/>
                <w:b/>
                <w:sz w:val="18"/>
                <w:shd w:val="clear" w:color="auto" w:fill="EEF1F5"/>
              </w:rPr>
              <w:t xml:space="preserve"/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Gráficos e análise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eastAsia="Consolas"/>
                <w:sz w:val="18"/>
                <w:shd w:val="clear" w:color="auto" w:fill="EEF1F5"/>
              </w:rPr>
              <w:t>3_analise.ipynb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20"/>
              </w:rPr>
              <w:t>Ideias para as perguntas; o produto final é o Power BI</w:t>
            </w:r>
          </w:p>
        </w:tc>
      </w:tr>
    </w:tbl>
    <w:p>
      <w:pPr>
        <w:spacing w:after="40"/>
      </w:pPr>
    </w:p>
    <w:p>
      <w:pPr>
        <w:pStyle w:val="Heading2"/>
      </w:pPr>
      <w:r>
        <w:t>O que é realmente novo (pesquise na documentação)</w:t>
      </w:r>
    </w:p>
    <w:p>
      <w:pPr>
        <w:pStyle w:val="ListBullet"/>
        <w:spacing w:after="60"/>
      </w:pPr>
      <w:r>
        <w:rPr>
          <w:b/>
        </w:rPr>
        <w:t>Modelo estrela</w:t>
      </w:r>
      <w:r>
        <w:rPr/>
        <w:t xml:space="preserve"> (fato × dimensões): procure "star schema" e releia o </w:t>
      </w:r>
      <w:r>
        <w:rPr>
          <w:rFonts w:ascii="Consolas" w:hAnsi="Consolas" w:eastAsia="Consolas"/>
          <w:sz w:val="20"/>
          <w:shd w:val="clear" w:color="auto" w:fill="EEF1F5"/>
        </w:rPr>
        <w:t>Pata Amiga</w:t>
      </w:r>
      <w:r>
        <w:rPr/>
        <w:t>.</w:t>
      </w:r>
    </w:p>
    <w:p>
      <w:pPr>
        <w:pStyle w:val="ListBullet"/>
        <w:spacing w:after="60"/>
      </w:pPr>
      <w:r>
        <w:rPr>
          <w:b/>
        </w:rPr>
        <w:t>Contar uma história com medidas:</w:t>
      </w:r>
      <w:r>
        <w:rPr/>
        <w:t xml:space="preserve"> cada pergunta vira 1 a 3 medidas + 1 visual + 1 frase de conclusão.</w:t>
      </w:r>
    </w:p>
    <w:p>
      <w:pPr>
        <w:pStyle w:val="ListBullet"/>
        <w:spacing w:after="60"/>
      </w:pPr>
      <w:r>
        <w:rPr>
          <w:b/>
        </w:rPr>
        <w:t>Power BI + DAX:</w:t>
      </w:r>
      <w:r>
        <w:rPr/>
        <w:t xml:space="preserve"> </w:t>
      </w:r>
      <w:r>
        <w:rPr>
          <w:rFonts w:ascii="Consolas" w:hAnsi="Consolas" w:eastAsia="Consolas"/>
          <w:sz w:val="20"/>
          <w:shd w:val="clear" w:color="auto" w:fill="EEF1F5"/>
        </w:rPr>
        <w:t>CALENDAR</w:t>
      </w:r>
      <w:r>
        <w:rPr/>
        <w:t>/</w:t>
      </w:r>
      <w:r>
        <w:rPr>
          <w:rFonts w:ascii="Consolas" w:hAnsi="Consolas" w:eastAsia="Consolas"/>
          <w:sz w:val="20"/>
          <w:shd w:val="clear" w:color="auto" w:fill="EEF1F5"/>
        </w:rPr>
        <w:t>CALENDARAUTO</w:t>
      </w:r>
      <w:r>
        <w:rPr/>
        <w:t xml:space="preserve">, </w:t>
      </w:r>
      <w:r>
        <w:rPr>
          <w:rFonts w:ascii="Consolas" w:hAnsi="Consolas" w:eastAsia="Consolas"/>
          <w:sz w:val="20"/>
          <w:shd w:val="clear" w:color="auto" w:fill="EEF1F5"/>
        </w:rPr>
        <w:t>VAR/RETURN</w:t>
      </w:r>
      <w:r>
        <w:rPr/>
        <w:t xml:space="preserve">, </w:t>
      </w:r>
      <w:r>
        <w:rPr>
          <w:rFonts w:ascii="Consolas" w:hAnsi="Consolas" w:eastAsia="Consolas"/>
          <w:sz w:val="20"/>
          <w:shd w:val="clear" w:color="auto" w:fill="EEF1F5"/>
        </w:rPr>
        <w:t>CALCULATE</w:t>
      </w:r>
      <w:r>
        <w:rPr/>
        <w:t xml:space="preserve">, </w:t>
      </w:r>
      <w:r>
        <w:rPr>
          <w:rFonts w:ascii="Consolas" w:hAnsi="Consolas" w:eastAsia="Consolas"/>
          <w:sz w:val="20"/>
          <w:shd w:val="clear" w:color="auto" w:fill="EEF1F5"/>
        </w:rPr>
        <w:t>DIVIDE</w:t>
      </w:r>
      <w:r>
        <w:rPr/>
        <w:t xml:space="preserve">, </w:t>
      </w:r>
      <w:r>
        <w:rPr>
          <w:rFonts w:ascii="Consolas" w:hAnsi="Consolas" w:eastAsia="Consolas"/>
          <w:sz w:val="20"/>
          <w:shd w:val="clear" w:color="auto" w:fill="EEF1F5"/>
        </w:rPr>
        <w:t>SUMX</w:t>
      </w:r>
      <w:r>
        <w:rPr/>
        <w:t xml:space="preserve">, indicadores (bookmarks), página de dica de ferramenta (tooltip). Veja a </w:t>
      </w:r>
      <w:r>
        <w:rPr>
          <w:b/>
        </w:rPr>
        <w:t>seção 4.6 do enunciado</w:t>
      </w:r>
      <w:r>
        <w:rPr/>
        <w:t>.</w:t>
      </w:r>
    </w:p>
    <w:p>
      <w:pPr>
        <w:pStyle w:val="Heading2"/>
      </w:pPr>
      <w:r>
        <w:t>Se travar</w:t>
      </w:r>
    </w:p>
    <w:p>
      <w:pPr>
        <w:spacing w:after="60"/>
        <w:ind w:left="510" w:hanging="340"/>
      </w:pPr>
      <w:r>
        <w:rPr/>
        <w:t>1.  Volte ao trabalho antigo equivalente e releia o comentário do arquivo.</w:t>
      </w:r>
    </w:p>
    <w:p>
      <w:pPr>
        <w:spacing w:after="60"/>
        <w:ind w:left="510" w:hanging="340"/>
      </w:pPr>
      <w:r>
        <w:rPr/>
        <w:t xml:space="preserve">2.  Reduza o problema: faça funcionar com </w:t>
      </w:r>
      <w:r>
        <w:rPr>
          <w:b/>
        </w:rPr>
        <w:t>10 linhas</w:t>
      </w:r>
      <w:r>
        <w:rPr/>
        <w:t>, depois com tudo.</w:t>
      </w:r>
    </w:p>
    <w:p>
      <w:pPr>
        <w:spacing w:after="60"/>
        <w:ind w:left="510" w:hanging="340"/>
      </w:pPr>
      <w:r>
        <w:rPr/>
        <w:t xml:space="preserve">3.  Compare com o anexo de conferência (seção 8):</w:t>
      </w:r>
      <w:r>
        <w:rPr>
          <w:rFonts w:ascii="Consolas" w:hAnsi="Consolas" w:eastAsia="Consolas"/>
          <w:sz w:val="20"/>
          <w:shd w:val="clear" w:color="auto" w:fill="EEF1F5"/>
        </w:rPr>
        <w:t xml:space="preserve"/>
      </w:r>
      <w:r>
        <w:rPr/>
        <w:t xml:space="preserve"> o </w:t>
      </w:r>
      <w:r>
        <w:rPr>
          <w:b/>
        </w:rPr>
        <w:t>tamanho</w:t>
      </w:r>
      <w:r>
        <w:rPr/>
        <w:t xml:space="preserve"> da diferença diz onde olhar.</w:t>
      </w:r>
    </w:p>
    <w:p>
      <w:pPr>
        <w:spacing w:after="60"/>
        <w:ind w:left="510" w:hanging="340"/>
      </w:pPr>
      <w:r>
        <w:rPr/>
        <w:t xml:space="preserve">4.  Pergunte ao professor mostrando </w:t>
      </w:r>
      <w:r>
        <w:rPr>
          <w:b/>
        </w:rPr>
        <w:t>o que você tentou</w:t>
      </w:r>
      <w:r>
        <w:rPr/>
        <w:t xml:space="preserve"> (e o erro completo).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3C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3C5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3C5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