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Problemstellung und Ausgangslage</w:t>
      </w:r>
    </w:p>
    <w:p>
      <w:pPr>
        <w:pStyle w:val="Normal"/>
        <w:rPr/>
      </w:pPr>
      <w:r>
        <w:rP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pPr>
        <w:pStyle w:val="Normal"/>
        <w:rPr/>
      </w:pPr>
      <w:r>
        <w:rP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cs="Arial" w:ascii="Arial" w:hAnsi="Arial"/>
        </w:rPr>
        <w:t> </w:t>
      </w:r>
      <w:r>
        <w:rPr/>
        <w:t>B. Diebstahl) als auch durch unbeabsichtigte Fehlbedienungen oder technische St</w:t>
      </w:r>
      <w:r>
        <w:rPr>
          <w:rFonts w:cs="Aptos"/>
        </w:rPr>
        <w:t>ö</w:t>
      </w:r>
      <w:r>
        <w:rPr/>
        <w:t>rungen. Eine differenzierte und belastbare Einsch</w:t>
      </w:r>
      <w:r>
        <w:rPr>
          <w:rFonts w:cs="Aptos"/>
        </w:rPr>
        <w:t>ä</w:t>
      </w:r>
      <w:r>
        <w:rPr/>
        <w:t>tzung der Ursachen und des Umfangs dieser Verluste liegt derzeit nicht vor.</w:t>
      </w:r>
    </w:p>
    <w:p>
      <w:pPr>
        <w:pStyle w:val="Normal"/>
        <w:rPr/>
      </w:pPr>
      <w:r>
        <w:rP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pPr>
        <w:pStyle w:val="Normal"/>
        <w:rPr/>
      </w:pPr>
      <w:r>
        <w:rPr/>
        <mc:AlternateContent>
          <mc:Choice Requires="wps">
            <w:drawing>
              <wp:inline distT="0" distB="0" distL="0" distR="0">
                <wp:extent cx="5760720" cy="19050"/>
                <wp:effectExtent l="0" t="0" r="0" b="0"/>
                <wp:docPr id="1" name="Shape1"/>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2. Projektauftrag und Ziel</w:t>
      </w:r>
    </w:p>
    <w:p>
      <w:pPr>
        <w:pStyle w:val="Normal"/>
        <w:rPr/>
      </w:pPr>
      <w:r>
        <w:rP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pPr>
        <w:pStyle w:val="Normal"/>
        <w:rPr/>
      </w:pPr>
      <w:r>
        <w:rP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pPr>
        <w:pStyle w:val="Normal"/>
        <w:rPr/>
      </w:pPr>
      <w:r>
        <w:rPr/>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pPr>
        <w:pStyle w:val="Normal"/>
        <w:rPr/>
      </w:pPr>
      <w:r>
        <w:rP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pPr>
        <w:pStyle w:val="Normal"/>
        <w:rPr/>
      </w:pPr>
      <w:r>
        <w:rPr/>
        <mc:AlternateContent>
          <mc:Choice Requires="wps">
            <w:drawing>
              <wp:inline distT="0" distB="0" distL="0" distR="0">
                <wp:extent cx="5760720" cy="19050"/>
                <wp:effectExtent l="0" t="0" r="0" b="0"/>
                <wp:docPr id="2" name="Shape2"/>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3. Bewertungsfunktion</w:t>
      </w:r>
    </w:p>
    <w:p>
      <w:pPr>
        <w:pStyle w:val="Normal"/>
        <w:rPr/>
      </w:pPr>
      <w:r>
        <w:rPr/>
        <w:t>Um die Effektivität möglicher Kontrollstrategien und die Leistungsfähigkeit des entwickelten Algorithmus bewerten zu können, legt die Wertkauf GmbH folgende wirtschaftliche Annahmen zugrunde:</w:t>
      </w:r>
    </w:p>
    <w:p>
      <w:pPr>
        <w:pStyle w:val="Normal"/>
        <w:numPr>
          <w:ilvl w:val="0"/>
          <w:numId w:val="1"/>
        </w:numPr>
        <w:rPr/>
      </w:pPr>
      <w:r>
        <w:rPr/>
        <w:t xml:space="preserve">Eine </w:t>
      </w:r>
      <w:r>
        <w:rPr>
          <w:b/>
          <w:bCs/>
        </w:rPr>
        <w:t>nicht durchgeführte Kontrolle bei einem korrekten Einkauf</w:t>
      </w:r>
      <w:r>
        <w:rPr/>
        <w:t xml:space="preserve"> gilt als betriebswirtschaftlich neutral und wird mit </w:t>
      </w:r>
      <w:r>
        <w:rPr>
          <w:b/>
          <w:bCs/>
        </w:rPr>
        <w:t>0,00 €</w:t>
      </w:r>
      <w:r>
        <w:rPr/>
        <w:t xml:space="preserve"> bewertet.</w:t>
      </w:r>
    </w:p>
    <w:p>
      <w:pPr>
        <w:pStyle w:val="Normal"/>
        <w:numPr>
          <w:ilvl w:val="0"/>
          <w:numId w:val="1"/>
        </w:numPr>
        <w:rPr/>
      </w:pPr>
      <w:r>
        <w:rPr/>
        <w:t xml:space="preserve">Eine </w:t>
      </w:r>
      <w:r>
        <w:rPr>
          <w:b/>
          <w:bCs/>
        </w:rPr>
        <w:t>nicht durchgeführte Kontrolle bei einem inkorrekten Einkauf</w:t>
      </w:r>
      <w:r>
        <w:rPr/>
        <w:t xml:space="preserve"> führt zu einem </w:t>
      </w:r>
      <w:r>
        <w:rPr>
          <w:b/>
          <w:bCs/>
        </w:rPr>
        <w:t>wirtschaftlichen Schaden</w:t>
      </w:r>
      <w:r>
        <w:rPr/>
        <w:t>, der mit dem Wert der entgangenen Ware beziffert werden soll.</w:t>
      </w:r>
    </w:p>
    <w:p>
      <w:pPr>
        <w:pStyle w:val="Normal"/>
        <w:numPr>
          <w:ilvl w:val="0"/>
          <w:numId w:val="1"/>
        </w:numPr>
        <w:rPr/>
      </w:pPr>
      <w:r>
        <w:rPr/>
        <w:t xml:space="preserve">Eine </w:t>
      </w:r>
      <w:r>
        <w:rPr>
          <w:b/>
          <w:bCs/>
        </w:rPr>
        <w:t>durchgeführte Kontrolle, die einen inkorrekten Einkauf identifiziert</w:t>
      </w:r>
      <w:r>
        <w:rPr/>
        <w:t xml:space="preserve">, wird mit einem </w:t>
      </w:r>
      <w:r>
        <w:rPr>
          <w:b/>
          <w:bCs/>
        </w:rPr>
        <w:t>positiven Nutzenwert von +5,00 €</w:t>
      </w:r>
      <w:r>
        <w:rPr/>
        <w:t xml:space="preserve"> angesetzt.</w:t>
      </w:r>
    </w:p>
    <w:p>
      <w:pPr>
        <w:pStyle w:val="Normal"/>
        <w:numPr>
          <w:ilvl w:val="0"/>
          <w:numId w:val="1"/>
        </w:numPr>
        <w:rPr/>
      </w:pPr>
      <w:r>
        <w:rPr/>
        <w:t xml:space="preserve">Eine </w:t>
      </w:r>
      <w:r>
        <w:rPr>
          <w:b/>
          <w:bCs/>
        </w:rPr>
        <w:t>durchgeführte Kontrolle bei einem korrekten Einkauf</w:t>
      </w:r>
      <w:r>
        <w:rPr/>
        <w:t xml:space="preserve"> wird mit </w:t>
      </w:r>
      <w:r>
        <w:rPr>
          <w:b/>
          <w:bCs/>
        </w:rPr>
        <w:t>–10,00 €</w:t>
      </w:r>
      <w:r>
        <w:rPr/>
        <w:t xml:space="preserve"> bewertet, da hierbei sowohl potenzieller Kundenärger als auch zusätzlicher Personalaufwand berücksichtigt werden.</w:t>
      </w:r>
    </w:p>
    <w:p>
      <w:pPr>
        <w:pStyle w:val="Normal"/>
        <w:rPr/>
      </w:pPr>
      <w:r>
        <w:rP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pPr>
        <w:pStyle w:val="Normal"/>
        <w:rPr/>
      </w:pPr>
      <w:r>
        <w:rPr/>
        <w:t xml:space="preserve">Wir begrüßen diese betriebswirtschaftliche Perspektive. Aus unserer Sicht ist es jedoch sinnvoll, die Bewertungsfunktion </w:t>
      </w:r>
      <w:r>
        <w:rPr>
          <w:b/>
          <w:bCs/>
        </w:rPr>
        <w:t>flexibel</w:t>
      </w:r>
      <w:r>
        <w:rPr/>
        <w:t xml:space="preserve"> und </w:t>
      </w:r>
      <w:r>
        <w:rPr>
          <w:b/>
          <w:bCs/>
        </w:rPr>
        <w:t>kontextsensitiv</w:t>
      </w:r>
      <w:r>
        <w:rPr/>
        <w:t xml:space="preserve"> zu gestalten. Daher schlagen wir folgende Anpassungen vor:</w:t>
      </w:r>
    </w:p>
    <w:p>
      <w:pPr>
        <w:pStyle w:val="Normal"/>
        <w:numPr>
          <w:ilvl w:val="0"/>
          <w:numId w:val="2"/>
        </w:numPr>
        <w:rPr/>
      </w:pPr>
      <w:r>
        <w:rPr>
          <w:b/>
          <w:bCs/>
        </w:rPr>
        <w:t>Variable statt fixer Beträge:</w:t>
      </w:r>
      <w:r>
        <w:rPr/>
        <w:t xml:space="preserve"> Die von der Wertkauf GmbH vorgeschlagenen Werte können als Standard beibehalten werden, sollten jedoch im Modell parametrierbar sein, um je nach Geschäftsfall angepasst werden zu können. So könnte man auch unterschiedliche Modellvarianten berechnen.</w:t>
      </w:r>
    </w:p>
    <w:p>
      <w:pPr>
        <w:pStyle w:val="Normal"/>
        <w:numPr>
          <w:ilvl w:val="0"/>
          <w:numId w:val="2"/>
        </w:numPr>
        <w:rPr/>
      </w:pPr>
      <w:r>
        <w:rPr>
          <w:b/>
          <w:bCs/>
        </w:rPr>
        <w:t>Wertabhängige Bewertung des verhinderten Schadens:</w:t>
      </w:r>
      <w:r>
        <w:rPr/>
        <w:t xml:space="preserve"> Im Fall 3 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p>
    <w:p>
      <w:pPr>
        <w:pStyle w:val="Normal"/>
        <w:rPr/>
      </w:pPr>
      <w:r>
        <w:rP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pPr>
        <w:pStyle w:val="Normal"/>
        <w:rPr/>
      </w:pPr>
      <w:r>
        <w:rPr/>
        <mc:AlternateContent>
          <mc:Choice Requires="wps">
            <w:drawing>
              <wp:inline distT="0" distB="0" distL="0" distR="0">
                <wp:extent cx="5760720" cy="19050"/>
                <wp:effectExtent l="0" t="0" r="0" b="0"/>
                <wp:docPr id="3" name="Shape3"/>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4. Abgrenzung des Projektumfangs</w:t>
      </w:r>
    </w:p>
    <w:p>
      <w:pPr>
        <w:pStyle w:val="Normal"/>
        <w:rPr/>
      </w:pPr>
      <w:r>
        <w:rPr/>
        <w:t>Nicht Bestandteil des Projekts ist die Entwicklung oder Empfehlung hardwareseitiger Kontrollmechanismen, wie z.</w:t>
      </w:r>
      <w:r>
        <w:rPr>
          <w:rFonts w:cs="Arial" w:ascii="Arial" w:hAnsi="Arial"/>
        </w:rPr>
        <w:t> </w:t>
      </w:r>
      <w:r>
        <w:rPr/>
        <w:t>B. Gewichtssensorik oder optischer Auswertungssysteme. Ebenso erfolgt keine juristische Bewertung hinsichtlich Datenschutzes oder Zul</w:t>
      </w:r>
      <w:r>
        <w:rPr>
          <w:rFonts w:cs="Aptos"/>
        </w:rPr>
        <w:t>ä</w:t>
      </w:r>
      <w:r>
        <w:rPr/>
        <w:t>ssigkeit von Kontrollvorg</w:t>
      </w:r>
      <w:r>
        <w:rPr>
          <w:rFonts w:cs="Aptos"/>
        </w:rPr>
        <w:t>ä</w:t>
      </w:r>
      <w:r>
        <w:rPr/>
        <w:t>ngen.</w:t>
        <w:br/>
        <w:t>Die durchgef</w:t>
      </w:r>
      <w:r>
        <w:rPr>
          <w:rFonts w:cs="Aptos"/>
        </w:rPr>
        <w:t>ü</w:t>
      </w:r>
      <w:r>
        <w:rPr/>
        <w:t>hrten Analysen basieren ausschlie</w:t>
      </w:r>
      <w:r>
        <w:rPr>
          <w:rFonts w:cs="Aptos"/>
        </w:rPr>
        <w:t>ß</w:t>
      </w:r>
      <w:r>
        <w:rPr/>
        <w:t xml:space="preserve">lich auf </w:t>
      </w:r>
      <w:r>
        <w:rPr>
          <w:b/>
          <w:bCs/>
        </w:rPr>
        <w:t>anonymisierten Transaktionsdaten</w:t>
      </w:r>
      <w:r>
        <w:rPr/>
        <w:t>, die durch die Wertkauf GmbH zur Verfügung gestellt wurden. Weitere Abgrenzungen und Risiken werden in einem separaten Abschnitt behandelt.</w:t>
      </w:r>
    </w:p>
    <w:p>
      <w:pPr>
        <w:pStyle w:val="Normal"/>
        <w:rPr/>
      </w:pPr>
      <w:r>
        <w:rPr/>
        <mc:AlternateContent>
          <mc:Choice Requires="wps">
            <w:drawing>
              <wp:inline distT="0" distB="0" distL="0" distR="0">
                <wp:extent cx="5760720" cy="19050"/>
                <wp:effectExtent l="0" t="0" r="0" b="0"/>
                <wp:docPr id="4" name="Shape4"/>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5. Datenlage</w:t>
      </w:r>
      <w:r>
        <w:rPr>
          <w:rFonts w:eastAsia="Segoe UI Emoji" w:cs="Segoe UI Emoji" w:ascii="Segoe UI Emoji" w:hAnsi="Segoe UI Emoji"/>
        </w:rPr>
        <w:t>Die Wertkauf GmbH hat</w:t>
      </w:r>
    </w:p>
    <w:p>
      <w:pPr>
        <w:pStyle w:val="Normal"/>
        <w:rPr>
          <w:b/>
          <w:bCs/>
        </w:rPr>
      </w:pPr>
      <w:r>
        <w:rPr/>
        <w:t xml:space="preserve">Die Wertkauf GmbH hat insgesamt sechs Dateien für das Projekt zur Verfügung gestellt. Ein begleitendes Data Dictionary fehlt, wodurch bei einzelnen Attributen potenziell Rückfragen notwendig </w:t>
      </w:r>
      <w:r>
        <w:rPr/>
        <w:t xml:space="preserve">sein </w:t>
      </w:r>
      <w:r>
        <w:rPr/>
        <w:t>werden, um Missverständnisse zu vermeiden.</w:t>
      </w:r>
    </w:p>
    <w:p>
      <w:pPr>
        <w:pStyle w:val="Normal"/>
        <w:rPr>
          <w:b/>
          <w:bCs/>
        </w:rPr>
      </w:pPr>
      <w:r>
        <w:rPr/>
        <w:t>Die Daten bestehen aus zwei CSV-Dateien mit Stammdaten zu Filialen und Artikeln sowie vier Dateien im Parquet-Format, welche Transaktions- und Positionsdaten enthalten – jeweils aufgeteilt in Trainings- und Testdaten.</w:t>
      </w:r>
    </w:p>
    <w:p>
      <w:pPr>
        <w:pStyle w:val="BodyText"/>
        <w:rPr/>
      </w:pPr>
      <w:r>
        <w:rPr/>
        <w:t>Die Testdaten stammen aus den Jahren 2022 und 2023, während die Trainingsdaten aus dem Jahr 2024 vorliegen. Die Trainingsdaten enthalten zwei zusätzliche Spalten, die in den Testdaten nicht vorhanden sind:</w:t>
      </w:r>
    </w:p>
    <w:p>
      <w:pPr>
        <w:pStyle w:val="BodyText"/>
        <w:numPr>
          <w:ilvl w:val="0"/>
          <w:numId w:val="4"/>
        </w:numPr>
        <w:tabs>
          <w:tab w:val="clear" w:pos="708"/>
          <w:tab w:val="left" w:pos="0" w:leader="none"/>
        </w:tabs>
        <w:ind w:hanging="283" w:left="709"/>
        <w:rPr/>
      </w:pPr>
      <w:r>
        <w:rPr>
          <w:rStyle w:val="Strong"/>
        </w:rPr>
        <w:t>label</w:t>
      </w:r>
      <w:r>
        <w:rPr/>
        <w:t xml:space="preserve"> – gibt an, ob eine Kontrolle durchgeführt wurde und welches Ergebnis diese hatte,</w:t>
      </w:r>
    </w:p>
    <w:p>
      <w:pPr>
        <w:pStyle w:val="BodyText"/>
        <w:numPr>
          <w:ilvl w:val="0"/>
          <w:numId w:val="4"/>
        </w:numPr>
        <w:tabs>
          <w:tab w:val="clear" w:pos="708"/>
          <w:tab w:val="left" w:pos="0" w:leader="none"/>
        </w:tabs>
        <w:ind w:hanging="283" w:left="709"/>
        <w:rPr/>
      </w:pPr>
      <w:r>
        <w:rPr>
          <w:rStyle w:val="Strong"/>
        </w:rPr>
        <w:t>damage</w:t>
      </w:r>
      <w:r>
        <w:rPr/>
        <w:t xml:space="preserve"> – enthält vermutlich die Schadenshöhe in Euro, falls bei einer Kontrolle ein fehlerhafter Scan oder Betrugsversuch festgestellt wurde.</w:t>
      </w:r>
    </w:p>
    <w:p>
      <w:pPr>
        <w:pStyle w:val="BodyText"/>
        <w:rPr/>
      </w:pPr>
      <w:r>
        <w:rPr/>
        <w:t xml:space="preserve">Diese beiden Spalten stellen offensichtliche Zielvariablen dar, die durch ein Modell vorhergesagt werden </w:t>
      </w:r>
      <w:r>
        <w:rPr/>
        <w:t>könnten</w:t>
      </w:r>
      <w:r>
        <w:rPr/>
        <w:t>, um die gegebene Problemstellung zu adressieren. Es könnten ein Klassifikationsmodell zur Erkennung potenzieller Betrugsfälle sowie ein Regressionsmodell zur Schätzung der zu erwartenden Schadenshöhe im Fall eines Betrugs kombiniert werden, um eine fundierte und differenzierte Entscheidungsunterstützung zu ermöglichen.</w:t>
      </w:r>
    </w:p>
    <w:p>
      <w:pPr>
        <w:pStyle w:val="BodyText"/>
        <w:rPr/>
      </w:pPr>
      <w:r>
        <w:rPr/>
        <w:t xml:space="preserve">Von insgesamt 1.481.783 Transaktionen im Trainingsdatensatz wurde bei 148.025 eine Kontrolle durchgeführt; davon wurden 4.656 als Betrug klassifiziert (ca. 3,14 %). Die Spalte </w:t>
      </w:r>
      <w:r>
        <w:rPr>
          <w:rStyle w:val="Strong"/>
          <w:b w:val="false"/>
          <w:bCs w:val="false"/>
        </w:rPr>
        <w:t>damage</w:t>
      </w:r>
      <w:r>
        <w:rPr/>
        <w:t xml:space="preserve"> ist konsistent mit der </w:t>
      </w:r>
      <w:r>
        <w:rPr>
          <w:rStyle w:val="Strong"/>
        </w:rPr>
        <w:t>label</w:t>
      </w:r>
      <w:r>
        <w:rPr/>
        <w:t>-Spalte: Transaktionen ohne Kontrolle weisen keinen Wert auf, Kontrollen mit unauffälligem Ergebnis haben den Wert 0, und nur bei als Betrug markierten Fällen wird ein positiver Schadensbetrag angegeben.</w:t>
      </w:r>
    </w:p>
    <w:p>
      <w:pPr>
        <w:pStyle w:val="BodyText"/>
        <w:rPr/>
      </w:pPr>
      <w:r>
        <w:rPr/>
        <w:t>Die Anzahl klassifizierter Betrugsfälle ist relativ gering, was die Entwicklung eines leistungsfähigen Modells erschweren könnte, insbesondere im Hinblick auf die Erkennung seltener Muster.</w:t>
      </w:r>
    </w:p>
    <w:p>
      <w:pPr>
        <w:pStyle w:val="BodyText"/>
        <w:rPr/>
      </w:pPr>
      <w:r>
        <w:rPr/>
        <w:t>Die Daten weisen insgesamt einen hohen Vollständigkeitsgrad auf. Nennenswerte Anteile fehlender Werte betreffen lediglich folgende Spalten:</w:t>
      </w:r>
    </w:p>
    <w:p>
      <w:pPr>
        <w:pStyle w:val="BodyText"/>
        <w:numPr>
          <w:ilvl w:val="0"/>
          <w:numId w:val="5"/>
        </w:numPr>
        <w:tabs>
          <w:tab w:val="clear" w:pos="708"/>
          <w:tab w:val="left" w:pos="0" w:leader="none"/>
        </w:tabs>
        <w:ind w:hanging="283" w:left="709"/>
        <w:rPr/>
      </w:pPr>
      <w:r>
        <w:rPr>
          <w:rStyle w:val="Strong"/>
        </w:rPr>
        <w:t>customer_feedback</w:t>
      </w:r>
      <w:r>
        <w:rPr/>
        <w:t>: Hier fehlen Einträge vermutlich, weil nicht alle Kund:innen eine Bewertung abgeben.</w:t>
      </w:r>
    </w:p>
    <w:p>
      <w:pPr>
        <w:pStyle w:val="BodyText"/>
        <w:numPr>
          <w:ilvl w:val="0"/>
          <w:numId w:val="5"/>
        </w:numPr>
        <w:tabs>
          <w:tab w:val="clear" w:pos="708"/>
          <w:tab w:val="left" w:pos="0" w:leader="none"/>
        </w:tabs>
        <w:ind w:hanging="283" w:left="709"/>
        <w:rPr/>
      </w:pPr>
      <w:r>
        <w:rPr>
          <w:rStyle w:val="Strong"/>
        </w:rPr>
        <w:t>valid_to</w:t>
      </w:r>
      <w:r>
        <w:rPr/>
        <w:t>: Rund 28 % der Produkte haben kein Gültigkeitsdatum.</w:t>
      </w:r>
    </w:p>
    <w:p>
      <w:pPr>
        <w:pStyle w:val="BodyText"/>
        <w:numPr>
          <w:ilvl w:val="0"/>
          <w:numId w:val="5"/>
        </w:numPr>
        <w:tabs>
          <w:tab w:val="clear" w:pos="708"/>
          <w:tab w:val="left" w:pos="0" w:leader="none"/>
        </w:tabs>
        <w:ind w:hanging="283" w:left="709"/>
        <w:rPr/>
      </w:pPr>
      <w:r>
        <w:rPr>
          <w:rStyle w:val="Strong"/>
        </w:rPr>
        <w:t>weight</w:t>
      </w:r>
      <w:r>
        <w:rPr/>
        <w:t>: Bei 2.505 Artikeln fehlt der Gewichtsangabe, obwohl nur 2.155 Produkte nach Gewicht verkauft werden. Somit fehlen bei etwa 6 % der nicht-gewichtsbasierten Artikel ebenfalls Gewichtsangaben.</w:t>
      </w:r>
    </w:p>
    <w:p>
      <w:pPr>
        <w:pStyle w:val="BodyText"/>
        <w:numPr>
          <w:ilvl w:val="0"/>
          <w:numId w:val="5"/>
        </w:numPr>
        <w:tabs>
          <w:tab w:val="clear" w:pos="708"/>
          <w:tab w:val="left" w:pos="0" w:leader="none"/>
        </w:tabs>
        <w:ind w:hanging="283" w:left="709"/>
        <w:rPr/>
      </w:pPr>
      <w:r>
        <w:rPr>
          <w:rStyle w:val="Strong"/>
        </w:rPr>
        <w:t>camera_certainty</w:t>
      </w:r>
      <w:r>
        <w:rPr/>
        <w:t xml:space="preserve">, </w:t>
      </w:r>
      <w:r>
        <w:rPr>
          <w:rStyle w:val="Strong"/>
        </w:rPr>
        <w:t>camera_product_similar</w:t>
      </w:r>
      <w:r>
        <w:rP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pPr>
        <w:pStyle w:val="BodyText"/>
        <w:rPr/>
      </w:pPr>
      <w:r>
        <w:rPr/>
        <w:t xml:space="preserve">Eine weitere Auffälligkeit betrifft die Konsistenz </w:t>
      </w:r>
      <w:r>
        <w:rPr/>
        <w:t>zwischen Transaktionsdaten und den zugeordneten Positionen</w:t>
      </w:r>
      <w:r>
        <w:rPr/>
        <w:t xml:space="preserve">: Die in der Spalte </w:t>
      </w:r>
      <w:r>
        <w:rPr>
          <w:rStyle w:val="Strong"/>
        </w:rPr>
        <w:t>n_lines</w:t>
      </w:r>
      <w:r>
        <w:rPr/>
        <w:t xml:space="preserve"> (aus der Transaktionsdatei) angegebene Anzahl Positionen stimmt in </w:t>
      </w:r>
      <w:r>
        <w:rPr/>
        <w:t>mehreren</w:t>
      </w:r>
      <w:r>
        <w:rPr/>
        <w:t xml:space="preserve"> Fällen nicht mit der tatsächlich verknüpften Anzahl Positionen überein.</w:t>
      </w:r>
    </w:p>
    <w:p>
      <w:pPr>
        <w:pStyle w:val="BodyText"/>
        <w:rPr/>
      </w:pPr>
      <w:r>
        <w:rPr/>
        <w:t>Preise und Geldbeträge liegen im Fließkommaformat vor, was zwar unüblich ist, jedoch keine grundlegenden Probleme erwarten lässt. Abgesehen von einigen Formatabweichungen bei Zeitstempeln ist die Datenqualität insgesamt als gut einzuschätzen.</w:t>
      </w:r>
    </w:p>
    <w:p>
      <w:pPr>
        <w:pStyle w:val="BodyText"/>
        <w:rPr/>
      </w:pPr>
      <w:r>
        <w:rPr/>
        <w:t>In der bisherigen Analyse ergaben sich keine Hinweise darauf, dass die Daten grundsätzlich ungeeignet wären, um ein Modell zur Lösung der Aufgabenstellung zu entwickeln.</w:t>
      </w:r>
    </w:p>
    <w:p>
      <w:pPr>
        <w:pStyle w:val="Normal"/>
        <w:rPr/>
      </w:pPr>
      <w:r>
        <w:rPr/>
        <mc:AlternateContent>
          <mc:Choice Requires="wps">
            <w:drawing>
              <wp:inline distT="0" distB="0" distL="0" distR="0">
                <wp:extent cx="5760720" cy="19050"/>
                <wp:effectExtent l="0" t="0" r="0" b="0"/>
                <wp:docPr id="5" name="Shape5"/>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6. Meilensteine</w:t>
      </w:r>
    </w:p>
    <w:p>
      <w:pPr>
        <w:pStyle w:val="Normal"/>
        <w:rPr/>
      </w:pPr>
      <w:r>
        <w:rPr/>
      </w:r>
    </w:p>
    <w:p>
      <w:pPr>
        <w:pStyle w:val="Normal"/>
        <w:rPr/>
      </w:pPr>
      <w:r>
        <w:rPr/>
        <mc:AlternateContent>
          <mc:Choice Requires="wps">
            <w:drawing>
              <wp:inline distT="0" distB="0" distL="0" distR="0">
                <wp:extent cx="5760720" cy="19050"/>
                <wp:effectExtent l="0" t="0" r="0" b="0"/>
                <wp:docPr id="6" name="Shape6"/>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7. Risiken</w:t>
      </w:r>
    </w:p>
    <w:p>
      <w:pPr>
        <w:pStyle w:val="Normal"/>
        <w:rPr>
          <w:b/>
          <w:bCs/>
        </w:rPr>
      </w:pPr>
      <w:r>
        <w:rPr/>
        <w:t>Im Verlauf des Projekts können verschiedene Herausforderungen auftreten, die Einfluss auf die Ergebnisse und deren praktische Umsetzbarkeit haben könnten:</w:t>
      </w:r>
    </w:p>
    <w:p>
      <w:pPr>
        <w:pStyle w:val="Normal"/>
        <w:numPr>
          <w:ilvl w:val="0"/>
          <w:numId w:val="3"/>
        </w:numPr>
        <w:rPr>
          <w:b/>
          <w:bCs/>
        </w:rPr>
      </w:pPr>
      <w:r>
        <w:rPr>
          <w:rFonts w:eastAsia="Aptos" w:cs="" w:cstheme="minorBidi" w:eastAsiaTheme="minorHAnsi"/>
          <w:color w:val="auto"/>
          <w:sz w:val="22"/>
          <w:szCs w:val="22"/>
        </w:rPr>
        <w:t xml:space="preserve">Wie oben bereits geschildert ist ein Modell, das auf die vom Kunden gewünschte Bewertungsfunktion optimiert wird, vermutlich eher bestrebt, kleinere Fehler bzw. Diebstähle unkontrolliert zu lassen. Sollte jedoch in der Filiale gerade durch viele kleinere Verluste zu einem großen Schaden kommen, wäre dieses Modell nicht ideal. </w:t>
      </w:r>
    </w:p>
    <w:p>
      <w:pPr>
        <w:pStyle w:val="Normal"/>
        <w:numPr>
          <w:ilvl w:val="0"/>
          <w:numId w:val="3"/>
        </w:numPr>
        <w:rPr>
          <w:b/>
          <w:bCs/>
        </w:rPr>
      </w:pPr>
      <w:r>
        <w:rPr>
          <w:rFonts w:eastAsia="Aptos" w:cs="" w:cstheme="minorBidi" w:eastAsiaTheme="minorHAnsi"/>
          <w:color w:val="auto"/>
          <w:sz w:val="22"/>
          <w:szCs w:val="22"/>
        </w:rPr>
        <w:t>Begrenzte Aussagekraft der klassifizierten Daten:</w:t>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pPr>
        <w:pStyle w:val="Normal"/>
        <w:numPr>
          <w:ilvl w:val="0"/>
          <w:numId w:val="3"/>
        </w:numPr>
        <w:rPr>
          <w:b/>
          <w:bCs/>
        </w:rPr>
      </w:pPr>
      <w:r>
        <w:rPr>
          <w:rFonts w:eastAsia="Aptos" w:cs="" w:cstheme="minorBidi" w:eastAsiaTheme="minorHAnsi"/>
          <w:color w:val="auto"/>
          <w:sz w:val="22"/>
          <w:szCs w:val="22"/>
        </w:rPr>
        <w:t>Eingeschränkte Übertragbarkeit auf andere Filialen:</w:t>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pPr>
        <w:pStyle w:val="Normal"/>
        <w:numPr>
          <w:ilvl w:val="0"/>
          <w:numId w:val="3"/>
        </w:numPr>
        <w:rPr>
          <w:b/>
          <w:bCs/>
        </w:rPr>
      </w:pPr>
      <w:r>
        <w:rPr>
          <w:rFonts w:eastAsia="Aptos" w:cs="" w:cstheme="minorBidi" w:eastAsiaTheme="minorHAnsi"/>
          <w:color w:val="auto"/>
          <w:sz w:val="22"/>
          <w:szCs w:val="22"/>
        </w:rPr>
        <w:t>Unausgewogene Datenverteilung:</w:t>
        <w:br/>
        <w:t>Da nur ein kleiner Teil der Transaktionen fehlerhaft ist, ist die Verteilung der Klassen sehr unausgeglichen. Das kann sich negativ auf die Trainings- und Testergebnisse des Modells auswirken.</w:t>
      </w:r>
    </w:p>
    <w:p>
      <w:pPr>
        <w:pStyle w:val="Normal"/>
        <w:numPr>
          <w:ilvl w:val="0"/>
          <w:numId w:val="3"/>
        </w:numPr>
        <w:rPr>
          <w:b/>
          <w:bCs/>
        </w:rPr>
      </w:pPr>
      <w:r>
        <w:rPr>
          <w:rFonts w:eastAsia="Aptos" w:cs="" w:cstheme="minorBidi" w:eastAsiaTheme="minorHAnsi"/>
          <w:color w:val="auto"/>
          <w:sz w:val="22"/>
          <w:szCs w:val="22"/>
        </w:rPr>
        <w:t>Modellverständlichkeit und Akzeptanz:</w:t>
        <w:br/>
        <w:t>Damit die Ergebnisse später wirklich genutzt werden, müssen sie auch nachvollziehbar sein – für alle Beteiligten. Wenn das Modell zu komplex ist, könnte es schwer werden, das Modell im Detail zu interpretieren.</w:t>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7e5f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7e5f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7e5f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7e5f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7e5f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7e5f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7e5f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7e5f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7e5f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7e5fd6"/>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7e5fd6"/>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7e5fd6"/>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7e5fd6"/>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7e5fd6"/>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7e5fd6"/>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7e5fd6"/>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7e5fd6"/>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7e5fd6"/>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7e5fd6"/>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7e5fd6"/>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7e5fd6"/>
    <w:rPr>
      <w:i/>
      <w:iCs/>
      <w:color w:themeColor="text1" w:themeTint="bf" w:val="404040"/>
    </w:rPr>
  </w:style>
  <w:style w:type="character" w:styleId="IntenseEmphasis">
    <w:name w:val="Intense Emphasis"/>
    <w:basedOn w:val="DefaultParagraphFont"/>
    <w:uiPriority w:val="21"/>
    <w:qFormat/>
    <w:rsid w:val="007e5fd6"/>
    <w:rPr>
      <w:i/>
      <w:iCs/>
      <w:color w:themeColor="accent1" w:themeShade="bf" w:val="0F4761"/>
    </w:rPr>
  </w:style>
  <w:style w:type="character" w:styleId="IntensivesZitatZchn" w:customStyle="1">
    <w:name w:val="Intensives Zitat Zchn"/>
    <w:basedOn w:val="DefaultParagraphFont"/>
    <w:link w:val="IntenseQuote"/>
    <w:uiPriority w:val="30"/>
    <w:qFormat/>
    <w:rsid w:val="007e5fd6"/>
    <w:rPr>
      <w:i/>
      <w:iCs/>
      <w:color w:themeColor="accent1" w:themeShade="bf" w:val="0F4761"/>
    </w:rPr>
  </w:style>
  <w:style w:type="character" w:styleId="IntenseReference">
    <w:name w:val="Intense Reference"/>
    <w:basedOn w:val="DefaultParagraphFont"/>
    <w:uiPriority w:val="32"/>
    <w:qFormat/>
    <w:rsid w:val="007e5fd6"/>
    <w:rPr>
      <w:b/>
      <w:bCs/>
      <w:smallCaps/>
      <w:color w:themeColor="accent1" w:themeShade="bf" w:val="0F4761"/>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7e5fd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7e5f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7e5fd6"/>
    <w:pPr>
      <w:spacing w:before="160" w:after="160"/>
      <w:jc w:val="center"/>
    </w:pPr>
    <w:rPr>
      <w:i/>
      <w:iCs/>
      <w:color w:themeColor="text1" w:themeTint="bf" w:val="404040"/>
    </w:rPr>
  </w:style>
  <w:style w:type="paragraph" w:styleId="ListParagraph">
    <w:name w:val="List Paragraph"/>
    <w:basedOn w:val="Normal"/>
    <w:uiPriority w:val="34"/>
    <w:qFormat/>
    <w:rsid w:val="007e5fd6"/>
    <w:pPr>
      <w:spacing w:before="0" w:after="160"/>
      <w:ind w:left="720"/>
      <w:contextualSpacing/>
    </w:pPr>
    <w:rPr/>
  </w:style>
  <w:style w:type="paragraph" w:styleId="IntenseQuote">
    <w:name w:val="Intense Quote"/>
    <w:basedOn w:val="Normal"/>
    <w:next w:val="Normal"/>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3.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LibreOffice/24.8.6.2$Linux_X86_64 LibreOffice_project/480$Build-2</Application>
  <AppVersion>15.0000</AppVersion>
  <Pages>5</Pages>
  <Words>1486</Words>
  <Characters>10291</Characters>
  <CharactersWithSpaces>11720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2025-04-17T15:22:00Z</dcterms:created>
  <dc:creator>Matthias Bald</dc:creator>
  <dc:description/>
  <dc:language>en-GB</dc:language>
  <cp:lastModifiedBy/>
  <cp:lastPrinted>2025-04-16T18:08:00Z</cp:lastPrinted>
  <dcterms:modified xsi:type="dcterms:W3CDTF">2025-04-19T00:51:52Z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