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F3864"/>
          <w:sz w:val="44"/>
          <w:szCs w:val="44"/>
        </w:rPr>
        <w:t xml:space="preserve">Northgate Accountancy Ltd</w:t>
      </w:r>
    </w:p>
    <w:p>
      <w:pPr>
        <w:pBdr>
          <w:bottom w:val="single" w:color="1F3864" w:sz="8" w:space="4"/>
        </w:pBdr>
        <w:spacing w:after="160"/>
      </w:pPr>
      <w:r>
        <w:rPr>
          <w:rFonts w:ascii="Arial" w:cs="Arial" w:eastAsia="Arial" w:hAnsi="Arial"/>
          <w:color w:val="595959"/>
          <w:sz w:val="20"/>
          <w:szCs w:val="20"/>
        </w:rPr>
        <w:t xml:space="preserve">Fictional company profile for GRC portfolio projects  |  Version 1.0  |  October 2026</w:t>
      </w:r>
    </w:p>
    <w:p>
      <w:pPr>
        <w:spacing w:after="120"/>
      </w:pPr>
      <w:r>
        <w:rPr>
          <w:rFonts w:ascii="Arial" w:cs="Arial" w:eastAsia="Arial" w:hAnsi="Arial"/>
          <w:b/>
          <w:bCs/>
          <w:sz w:val="21"/>
          <w:szCs w:val="21"/>
        </w:rPr>
        <w:t xml:space="preserve">Disclaimer: </w:t>
      </w:r>
      <w:r>
        <w:rPr>
          <w:rFonts w:ascii="Arial" w:cs="Arial" w:eastAsia="Arial" w:hAnsi="Arial"/>
          <w:sz w:val="21"/>
          <w:szCs w:val="21"/>
        </w:rPr>
        <w:t xml:space="preserve">Northgate Accountancy Ltd is a fictional company created for portfolio and learning purposes. All people, systems, incidents and figures are invented. Any resemblance to a real business is coincidental. Roles are described by job title only.</w:t>
      </w:r>
    </w:p>
    <w:p>
      <w:pPr>
        <w:pStyle w:val="Heading1"/>
        <w:spacing w:after="120" w:before="280"/>
      </w:pPr>
      <w:r>
        <w:rPr>
          <w:rFonts w:ascii="Arial" w:cs="Arial" w:eastAsia="Arial" w:hAnsi="Arial"/>
          <w:b/>
          <w:bCs/>
          <w:color w:val="1F3864"/>
          <w:sz w:val="28"/>
          <w:szCs w:val="28"/>
        </w:rPr>
        <w:t xml:space="preserve">1. Company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Business</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Small accountancy practice providing accounts preparation, tax, payroll bureau and business advisory services to local businesses and individuals.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Founded</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2009</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Staff</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38 (see section 3)</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Clients</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About 650, of which roughly 120 use the payroll bureau service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Location</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One office in a regional UK city (open-plan), plus hybrid working: about 12 staff work from home two or three days a week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Annual revenue</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About £3.2 million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Ownership</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Owned by two directors (Managing Director and Finance Director)</w:t>
            </w:r>
          </w:p>
        </w:tc>
      </w:tr>
    </w:tbl>
    <w:p>
      <w:pPr>
        <w:spacing w:after="60"/>
      </w:pPr>
    </w:p>
    <w:p>
      <w:pPr>
        <w:pStyle w:val="Heading1"/>
        <w:spacing w:after="120" w:before="280"/>
      </w:pPr>
      <w:r>
        <w:rPr>
          <w:rFonts w:ascii="Arial" w:cs="Arial" w:eastAsia="Arial" w:hAnsi="Arial"/>
          <w:b/>
          <w:bCs/>
          <w:color w:val="1F3864"/>
          <w:sz w:val="28"/>
          <w:szCs w:val="28"/>
        </w:rPr>
        <w:t xml:space="preserve">2. Business context and drivers</w:t>
      </w:r>
    </w:p>
    <w:p>
      <w:pPr>
        <w:pStyle w:val="ListParagraph"/>
        <w:numPr>
          <w:ilvl w:val="0"/>
          <w:numId w:val="2"/>
        </w:numPr>
        <w:spacing w:after="60"/>
      </w:pPr>
      <w:r>
        <w:rPr>
          <w:rFonts w:ascii="Arial" w:cs="Arial" w:eastAsia="Arial" w:hAnsi="Arial"/>
          <w:sz w:val="21"/>
          <w:szCs w:val="21"/>
        </w:rPr>
        <w:t xml:space="preserve">Growth plan: the firm wants to expand its payroll bureau service by around 30% over the next two years, which means holding more employee personal and financial data.</w:t>
      </w:r>
    </w:p>
    <w:p>
      <w:pPr>
        <w:pStyle w:val="ListParagraph"/>
        <w:numPr>
          <w:ilvl w:val="0"/>
          <w:numId w:val="2"/>
        </w:numPr>
        <w:spacing w:after="60"/>
      </w:pPr>
      <w:r>
        <w:rPr>
          <w:rFonts w:ascii="Arial" w:cs="Arial" w:eastAsia="Arial" w:hAnsi="Arial"/>
          <w:sz w:val="21"/>
          <w:szCs w:val="21"/>
        </w:rPr>
        <w:t xml:space="preserve">Client pressure: the firm's largest client (a regional property group, about 12% of revenue) has asked for evidence of Cyber Essentials certification within six months.</w:t>
      </w:r>
    </w:p>
    <w:p>
      <w:pPr>
        <w:pStyle w:val="ListParagraph"/>
        <w:numPr>
          <w:ilvl w:val="0"/>
          <w:numId w:val="2"/>
        </w:numPr>
        <w:spacing w:after="60"/>
      </w:pPr>
      <w:r>
        <w:rPr>
          <w:rFonts w:ascii="Arial" w:cs="Arial" w:eastAsia="Arial" w:hAnsi="Arial"/>
          <w:sz w:val="21"/>
          <w:szCs w:val="21"/>
        </w:rPr>
        <w:t xml:space="preserve">Insurance: the cyber insurance renewal questionnaire now asks about multi-factor authentication, backups and incident response, and the premium is expected to rise.</w:t>
      </w:r>
    </w:p>
    <w:p>
      <w:pPr>
        <w:pStyle w:val="ListParagraph"/>
        <w:numPr>
          <w:ilvl w:val="0"/>
          <w:numId w:val="2"/>
        </w:numPr>
        <w:spacing w:after="60"/>
      </w:pPr>
      <w:r>
        <w:rPr>
          <w:rFonts w:ascii="Arial" w:cs="Arial" w:eastAsia="Arial" w:hAnsi="Arial"/>
          <w:sz w:val="21"/>
          <w:szCs w:val="21"/>
        </w:rPr>
        <w:t xml:space="preserve">Regulatory exposure: the firm handles personal data and financial records, and is supervised for anti-money laundering purposes.</w:t>
      </w:r>
    </w:p>
    <w:p>
      <w:pPr>
        <w:pStyle w:val="Heading1"/>
        <w:spacing w:after="120" w:before="280"/>
      </w:pPr>
      <w:r>
        <w:rPr>
          <w:rFonts w:ascii="Arial" w:cs="Arial" w:eastAsia="Arial" w:hAnsi="Arial"/>
          <w:b/>
          <w:bCs/>
          <w:color w:val="1F3864"/>
          <w:sz w:val="28"/>
          <w:szCs w:val="28"/>
        </w:rPr>
        <w:t xml:space="preserve">3. People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Role</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Count</w:t>
            </w:r>
          </w:p>
        </w:tc>
        <w:tc>
          <w:tcPr>
            <w:tcW w:type="dxa" w:w="5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IT and security responsibilities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Managing Director</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1</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Overall accountable owner; approves IT spend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Finance Director</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1</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Owns payroll systems and supplier contracts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Practice Manager</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1</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Owns client records and day-to-day operations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Office Manager</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1</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Joiners and leavers, equipment, building access; first contact for IT problems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Accountants and tax advisers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22</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Use client records, file server and cloud accounting platform</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Bookkeepers and admin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6</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Data entry, client correspondence, scanning and printing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Payroll team</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4</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Process client payroll; handle bank details and National Insurance numbers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Apprentices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2</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Standard user access to shared folders and email</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External IT contractor</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n/a</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Sole trader, on site two days a week. Has full administrator access to every system</w:t>
            </w:r>
          </w:p>
        </w:tc>
      </w:tr>
    </w:tbl>
    <w:p>
      <w:pPr>
        <w:spacing w:after="60"/>
      </w:pPr>
    </w:p>
    <w:p>
      <w:pPr>
        <w:spacing w:after="120"/>
      </w:pPr>
      <w:r>
        <w:rPr>
          <w:rFonts w:ascii="Arial" w:cs="Arial" w:eastAsia="Arial" w:hAnsi="Arial"/>
          <w:sz w:val="21"/>
          <w:szCs w:val="21"/>
        </w:rPr>
        <w:t xml:space="preserve">No one in the firm holds a dedicated security or compliance role. The Office Manager is the unofficial point of contact for data protection questions.</w:t>
      </w:r>
    </w:p>
    <w:p>
      <w:pPr>
        <w:pStyle w:val="Heading1"/>
        <w:spacing w:after="120" w:before="280"/>
      </w:pPr>
      <w:r>
        <w:rPr>
          <w:rFonts w:ascii="Arial" w:cs="Arial" w:eastAsia="Arial" w:hAnsi="Arial"/>
          <w:b/>
          <w:bCs/>
          <w:color w:val="1F3864"/>
          <w:sz w:val="28"/>
          <w:szCs w:val="28"/>
        </w:rPr>
        <w:t xml:space="preserve">4. IT environment</w:t>
      </w:r>
    </w:p>
    <w:p>
      <w:pPr>
        <w:pStyle w:val="Heading2"/>
        <w:spacing w:after="80" w:before="180"/>
      </w:pPr>
      <w:r>
        <w:rPr>
          <w:rFonts w:ascii="Arial" w:cs="Arial" w:eastAsia="Arial" w:hAnsi="Arial"/>
          <w:b/>
          <w:bCs/>
          <w:color w:val="1F3864"/>
          <w:sz w:val="23"/>
          <w:szCs w:val="23"/>
        </w:rPr>
        <w:t xml:space="preserve">4.1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1500"/>
        <w:gridCol w:w="30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System</w:t>
            </w: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Purpose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Hosting</w:t>
            </w:r>
          </w:p>
        </w:tc>
        <w:tc>
          <w:tcPr>
            <w:tcW w:type="dxa" w:w="3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Microsoft 365 Business Premium</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Email, Teams, SharePoint, OneDrive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Cloud</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About 40 licences; default audit logging only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Cloud accounting and practice management platform</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Client records, tax workflows, billing</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Cloud (SaaS)</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Holds the main client database; single sign-on not enabled</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Payroll software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Payroll bureau processing</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Cloud (SaaS)</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Stores employee names, addresses, NI numbers and bank details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File server</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Client working papers, scanned documents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On-premises</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Windows Server 2016, extended support ends January 2027; kept in an unlocked cupboard in the open-plan office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Staff laptops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Daily work</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40 devices</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Windows 11; Microsoft Defender, not centrally managed; no disk encryption policy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Mobile phones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Email and calendar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Mixed</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About 15 staff use personal phones to read work email</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Firewall/router</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Internet edge, VPN termination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On-premises</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Single device, rules not reviewed for three years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Backup</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File server backup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External USB drive</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Nightly job; drive stays in the office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Company website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Marketing and contact form</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Third-party host</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Managed by an outsourced web designer</w:t>
            </w:r>
          </w:p>
        </w:tc>
      </w:tr>
    </w:tbl>
    <w:p>
      <w:pPr>
        <w:spacing w:after="60"/>
      </w:pPr>
    </w:p>
    <w:p>
      <w:pPr>
        <w:pStyle w:val="Heading2"/>
        <w:spacing w:after="80" w:before="180"/>
      </w:pPr>
      <w:r>
        <w:rPr>
          <w:rFonts w:ascii="Arial" w:cs="Arial" w:eastAsia="Arial" w:hAnsi="Arial"/>
          <w:b/>
          <w:bCs/>
          <w:color w:val="1F3864"/>
          <w:sz w:val="23"/>
          <w:szCs w:val="23"/>
        </w:rPr>
        <w:t xml:space="preserve">4.2 Network</w:t>
      </w:r>
    </w:p>
    <w:p>
      <w:pPr>
        <w:pStyle w:val="ListParagraph"/>
        <w:numPr>
          <w:ilvl w:val="0"/>
          <w:numId w:val="2"/>
        </w:numPr>
        <w:spacing w:after="60"/>
      </w:pPr>
      <w:r>
        <w:rPr>
          <w:rFonts w:ascii="Arial" w:cs="Arial" w:eastAsia="Arial" w:hAnsi="Arial"/>
          <w:sz w:val="21"/>
          <w:szCs w:val="21"/>
        </w:rPr>
        <w:t xml:space="preserve">One internet connection from a single ISP, no failover.</w:t>
      </w:r>
    </w:p>
    <w:p>
      <w:pPr>
        <w:pStyle w:val="ListParagraph"/>
        <w:numPr>
          <w:ilvl w:val="0"/>
          <w:numId w:val="2"/>
        </w:numPr>
        <w:spacing w:after="60"/>
      </w:pPr>
      <w:r>
        <w:rPr>
          <w:rFonts w:ascii="Arial" w:cs="Arial" w:eastAsia="Arial" w:hAnsi="Arial"/>
          <w:sz w:val="21"/>
          <w:szCs w:val="21"/>
        </w:rPr>
        <w:t xml:space="preserve">Flat internal network: staff PCs, the file server, printers and the guest Wi-Fi all share one subnet (no VLANs).</w:t>
      </w:r>
    </w:p>
    <w:p>
      <w:pPr>
        <w:pStyle w:val="ListParagraph"/>
        <w:numPr>
          <w:ilvl w:val="0"/>
          <w:numId w:val="2"/>
        </w:numPr>
        <w:spacing w:after="60"/>
      </w:pPr>
      <w:r>
        <w:rPr>
          <w:rFonts w:ascii="Arial" w:cs="Arial" w:eastAsia="Arial" w:hAnsi="Arial"/>
          <w:sz w:val="21"/>
          <w:szCs w:val="21"/>
        </w:rPr>
        <w:t xml:space="preserve">Remote staff connect over a VPN using a username and password only.</w:t>
      </w:r>
    </w:p>
    <w:p>
      <w:pPr>
        <w:pStyle w:val="ListParagraph"/>
        <w:numPr>
          <w:ilvl w:val="0"/>
          <w:numId w:val="2"/>
        </w:numPr>
        <w:spacing w:after="60"/>
      </w:pPr>
      <w:r>
        <w:rPr>
          <w:rFonts w:ascii="Arial" w:cs="Arial" w:eastAsia="Arial" w:hAnsi="Arial"/>
          <w:sz w:val="21"/>
          <w:szCs w:val="21"/>
        </w:rPr>
        <w:t xml:space="preserve">Network equipment is configured by the IT contractor; no network diagram or configuration backup exists.</w:t>
      </w:r>
    </w:p>
    <w:p>
      <w:pPr>
        <w:pStyle w:val="Heading1"/>
        <w:spacing w:after="120" w:before="280"/>
      </w:pPr>
      <w:r>
        <w:rPr>
          <w:rFonts w:ascii="Arial" w:cs="Arial" w:eastAsia="Arial" w:hAnsi="Arial"/>
          <w:b/>
          <w:bCs/>
          <w:color w:val="1F3864"/>
          <w:sz w:val="28"/>
          <w:szCs w:val="28"/>
        </w:rPr>
        <w:t xml:space="preserve">5. Data handled</w:t>
      </w:r>
    </w:p>
    <w:p>
      <w:pPr>
        <w:pStyle w:val="ListParagraph"/>
        <w:numPr>
          <w:ilvl w:val="0"/>
          <w:numId w:val="2"/>
        </w:numPr>
        <w:spacing w:after="60"/>
      </w:pPr>
      <w:r>
        <w:rPr>
          <w:rFonts w:ascii="Arial" w:cs="Arial" w:eastAsia="Arial" w:hAnsi="Arial"/>
          <w:sz w:val="21"/>
          <w:szCs w:val="21"/>
        </w:rPr>
        <w:t xml:space="preserve">Client personal data: names, addresses, dates of birth, National Insurance numbers, UTR numbers.</w:t>
      </w:r>
    </w:p>
    <w:p>
      <w:pPr>
        <w:pStyle w:val="ListParagraph"/>
        <w:numPr>
          <w:ilvl w:val="0"/>
          <w:numId w:val="2"/>
        </w:numPr>
        <w:spacing w:after="60"/>
      </w:pPr>
      <w:r>
        <w:rPr>
          <w:rFonts w:ascii="Arial" w:cs="Arial" w:eastAsia="Arial" w:hAnsi="Arial"/>
          <w:sz w:val="21"/>
          <w:szCs w:val="21"/>
        </w:rPr>
        <w:t xml:space="preserve">Client financial data: bank statements, accounts, tax returns, payroll records.</w:t>
      </w:r>
    </w:p>
    <w:p>
      <w:pPr>
        <w:pStyle w:val="ListParagraph"/>
        <w:numPr>
          <w:ilvl w:val="0"/>
          <w:numId w:val="2"/>
        </w:numPr>
        <w:spacing w:after="60"/>
      </w:pPr>
      <w:r>
        <w:rPr>
          <w:rFonts w:ascii="Arial" w:cs="Arial" w:eastAsia="Arial" w:hAnsi="Arial"/>
          <w:sz w:val="21"/>
          <w:szCs w:val="21"/>
        </w:rPr>
        <w:t xml:space="preserve">Employee data for the firm's own staff: HR files, contracts and absence records (a mix of paper files and a spreadsheet).</w:t>
      </w:r>
    </w:p>
    <w:p>
      <w:pPr>
        <w:pStyle w:val="ListParagraph"/>
        <w:numPr>
          <w:ilvl w:val="0"/>
          <w:numId w:val="2"/>
        </w:numPr>
        <w:spacing w:after="60"/>
      </w:pPr>
      <w:r>
        <w:rPr>
          <w:rFonts w:ascii="Arial" w:cs="Arial" w:eastAsia="Arial" w:hAnsi="Arial"/>
          <w:sz w:val="21"/>
          <w:szCs w:val="21"/>
        </w:rPr>
        <w:t xml:space="preserve">Special category data appears occasionally, for example sickness information in payroll files.</w:t>
      </w:r>
    </w:p>
    <w:p>
      <w:pPr>
        <w:pStyle w:val="Heading1"/>
        <w:spacing w:after="120" w:before="280"/>
      </w:pPr>
      <w:r>
        <w:rPr>
          <w:rFonts w:ascii="Arial" w:cs="Arial" w:eastAsia="Arial" w:hAnsi="Arial"/>
          <w:b/>
          <w:bCs/>
          <w:color w:val="1F3864"/>
          <w:sz w:val="28"/>
          <w:szCs w:val="28"/>
        </w:rPr>
        <w:t xml:space="preserve">6. Current security posture</w:t>
      </w:r>
    </w:p>
    <w:p>
      <w:pPr>
        <w:spacing w:after="120"/>
      </w:pPr>
      <w:r>
        <w:rPr>
          <w:rFonts w:ascii="Arial" w:cs="Arial" w:eastAsia="Arial" w:hAnsi="Arial"/>
          <w:sz w:val="21"/>
          <w:szCs w:val="21"/>
        </w:rPr>
        <w:t xml:space="preserve">This is the starting position before any assessment. Section 10 explains how to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Area</w:t>
            </w:r>
          </w:p>
        </w:tc>
        <w:tc>
          <w:tcPr>
            <w:tcW w:type="dxa" w:w="71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Current state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Authentication</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MFA is enabled for the two directors only. Other users sign in with passwords (minimum 8 characters, no expiry). The file server has a shared local administrator account used by the IT contractor and the Office Manager.</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Patching</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Laptops update automatically. The file server and firewall are patched when the contractor remembers, roughly every three to six months.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Endpoint protection</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Microsoft Defender on laptops, not centrally managed. No endpoint detection and response (EDR) tool.</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Monitoring and logging</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No SIEM. Firewall logs are not retained. Microsoft 365 audit logs are on default settings and not reviewed.</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Backups</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Nightly backup of the file server to one USB drive kept in the office. No offsite or cloud copy. A restore has never been tested. Microsoft 365 data is not backed up separately.</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Network</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Flat network with no segmentation. Guest Wi-Fi shares the staff network. Default firewall rules largely unchanged.</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Joiners, movers and leavers</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Handled by email to the IT contractor. Leavers' accounts have sometimes stayed active for several weeks.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Policies</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An acceptable use policy dated 2018. No incident response plan, no information security policy, no access review process.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Training</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Induction only. No phishing awareness training.</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Physical security</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Entry door keypad code unchanged for two years. Server cupboard is not locked.</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Data protection</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Registered with the ICO. Privacy notice on the website. No record of processing activities and no DPIAs. Subject access requests are handled ad hoc.</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Suppliers</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No security checks on suppliers. The IT contractor has unrestricted administrator access and no written contract covering confidentiality.</w:t>
            </w:r>
          </w:p>
        </w:tc>
      </w:tr>
    </w:tbl>
    <w:p>
      <w:pPr>
        <w:spacing w:after="60"/>
      </w:pPr>
    </w:p>
    <w:p>
      <w:pPr>
        <w:pStyle w:val="Heading1"/>
        <w:spacing w:after="120" w:before="280"/>
      </w:pPr>
      <w:r>
        <w:rPr>
          <w:rFonts w:ascii="Arial" w:cs="Arial" w:eastAsia="Arial" w:hAnsi="Arial"/>
          <w:b/>
          <w:bCs/>
          <w:color w:val="1F3864"/>
          <w:sz w:val="28"/>
          <w:szCs w:val="28"/>
        </w:rPr>
        <w:t xml:space="preserve">7. Past incident</w:t>
      </w:r>
    </w:p>
    <w:p>
      <w:pPr>
        <w:spacing w:after="120"/>
      </w:pPr>
      <w:r>
        <w:rPr>
          <w:rFonts w:ascii="Arial" w:cs="Arial" w:eastAsia="Arial" w:hAnsi="Arial"/>
          <w:sz w:val="21"/>
          <w:szCs w:val="21"/>
        </w:rPr>
        <w:t xml:space="preserve">Eight months ago a member of the payroll team clicked a link in an email impersonating a supplier invoice and entered her Microsoft 365 password on a fake sign-in page. The attacker sent 14 emails from her mailbox before the IT contractor reset the password the next day. No data loss was confirmed. The incident was not reported to the ICO, no formal review took place, and no lessons-learned actions were recorded.</w:t>
      </w:r>
    </w:p>
    <w:p>
      <w:pPr>
        <w:pStyle w:val="Heading1"/>
        <w:spacing w:after="120" w:before="280"/>
      </w:pPr>
      <w:r>
        <w:rPr>
          <w:rFonts w:ascii="Arial" w:cs="Arial" w:eastAsia="Arial" w:hAnsi="Arial"/>
          <w:b/>
          <w:bCs/>
          <w:color w:val="1F3864"/>
          <w:sz w:val="28"/>
          <w:szCs w:val="28"/>
        </w:rPr>
        <w:t xml:space="preserve">8. Asset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300"/>
        <w:gridCol w:w="1700"/>
        <w:gridCol w:w="19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Asset</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Owner (role)</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Type</w:t>
            </w:r>
          </w:p>
        </w:tc>
        <w:tc>
          <w:tcPr>
            <w:tcW w:type="dxa" w:w="1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Criticality</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A01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Client records (cloud practice platform)</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Practice Manager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SaaS data</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High</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A02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Microsoft 365 tenant (email, SharePoint, OneDrive)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Managing Director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SaaS</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High</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A03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File server and client working papers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Practice Manager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Server and data</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High</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A04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Payroll system and employee data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Finance Director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SaaS data</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High</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A05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Firewall/router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IT contractor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Network</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High</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A06</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Backup drive and process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IT contractor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Backup</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High</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A07</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Shared and administrator accounts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IT contractor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Identity</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High</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A08</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VPN service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IT contractor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Network</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Medium</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A09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Staff laptops (40)</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Office Manager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Endpoints</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Medium</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A10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Personal phones accessing work email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Office Manager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Endpoints (BYOD)</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Medium</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A11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HR records (paper and spreadsheet)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Office Manager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Data</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Medium</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A12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Guest Wi-Fi</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Office Manager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Network</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Low</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A13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Company website and contact form</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Managing Director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Web</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Low</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A14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Printers and scanners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Office Manager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Devices</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Low</w:t>
            </w:r>
          </w:p>
        </w:tc>
      </w:tr>
    </w:tbl>
    <w:p>
      <w:pPr>
        <w:spacing w:after="60"/>
      </w:pPr>
    </w:p>
    <w:p>
      <w:pPr>
        <w:pStyle w:val="Heading1"/>
        <w:spacing w:after="120" w:before="280"/>
      </w:pPr>
      <w:r>
        <w:rPr>
          <w:rFonts w:ascii="Arial" w:cs="Arial" w:eastAsia="Arial" w:hAnsi="Arial"/>
          <w:b/>
          <w:bCs/>
          <w:color w:val="1F3864"/>
          <w:sz w:val="28"/>
          <w:szCs w:val="28"/>
        </w:rPr>
        <w:t xml:space="preserve">9. Regulatory and compliance landscape</w:t>
      </w:r>
    </w:p>
    <w:p>
      <w:pPr>
        <w:pStyle w:val="ListParagraph"/>
        <w:numPr>
          <w:ilvl w:val="0"/>
          <w:numId w:val="2"/>
        </w:numPr>
        <w:spacing w:after="60"/>
      </w:pPr>
      <w:r>
        <w:rPr>
          <w:rFonts w:ascii="Arial" w:cs="Arial" w:eastAsia="Arial" w:hAnsi="Arial"/>
          <w:sz w:val="21"/>
          <w:szCs w:val="21"/>
        </w:rPr>
        <w:t xml:space="preserve">UK GDPR and the Data Protection Act 2018 (the firm is a controller for its own staff data and a processor for payroll clients).</w:t>
      </w:r>
    </w:p>
    <w:p>
      <w:pPr>
        <w:pStyle w:val="ListParagraph"/>
        <w:numPr>
          <w:ilvl w:val="0"/>
          <w:numId w:val="2"/>
        </w:numPr>
        <w:spacing w:after="60"/>
      </w:pPr>
      <w:r>
        <w:rPr>
          <w:rFonts w:ascii="Arial" w:cs="Arial" w:eastAsia="Arial" w:hAnsi="Arial"/>
          <w:sz w:val="21"/>
          <w:szCs w:val="21"/>
        </w:rPr>
        <w:t xml:space="preserve">ICO registration and breach reporting duties (72 hours for notifiable breaches).</w:t>
      </w:r>
    </w:p>
    <w:p>
      <w:pPr>
        <w:pStyle w:val="ListParagraph"/>
        <w:numPr>
          <w:ilvl w:val="0"/>
          <w:numId w:val="2"/>
        </w:numPr>
        <w:spacing w:after="60"/>
      </w:pPr>
      <w:r>
        <w:rPr>
          <w:rFonts w:ascii="Arial" w:cs="Arial" w:eastAsia="Arial" w:hAnsi="Arial"/>
          <w:sz w:val="21"/>
          <w:szCs w:val="21"/>
        </w:rPr>
        <w:t xml:space="preserve">Anti-money laundering supervision applicable to accountancy firms.</w:t>
      </w:r>
    </w:p>
    <w:p>
      <w:pPr>
        <w:pStyle w:val="ListParagraph"/>
        <w:numPr>
          <w:ilvl w:val="0"/>
          <w:numId w:val="2"/>
        </w:numPr>
        <w:spacing w:after="60"/>
      </w:pPr>
      <w:r>
        <w:rPr>
          <w:rFonts w:ascii="Arial" w:cs="Arial" w:eastAsia="Arial" w:hAnsi="Arial"/>
          <w:sz w:val="21"/>
          <w:szCs w:val="21"/>
        </w:rPr>
        <w:t xml:space="preserve">Professional confidentiality obligations to clients.</w:t>
      </w:r>
    </w:p>
    <w:p>
      <w:pPr>
        <w:pStyle w:val="ListParagraph"/>
        <w:numPr>
          <w:ilvl w:val="0"/>
          <w:numId w:val="2"/>
        </w:numPr>
        <w:spacing w:after="60"/>
      </w:pPr>
      <w:r>
        <w:rPr>
          <w:rFonts w:ascii="Arial" w:cs="Arial" w:eastAsia="Arial" w:hAnsi="Arial"/>
          <w:sz w:val="21"/>
          <w:szCs w:val="21"/>
        </w:rPr>
        <w:t xml:space="preserve">Cyber Essentials requested by a key client; cyber insurance conditions.</w:t>
      </w:r>
    </w:p>
    <w:p>
      <w:pPr>
        <w:pStyle w:val="Heading1"/>
        <w:spacing w:after="120" w:before="280"/>
      </w:pPr>
      <w:r>
        <w:rPr>
          <w:rFonts w:ascii="Arial" w:cs="Arial" w:eastAsia="Arial" w:hAnsi="Arial"/>
          <w:b/>
          <w:bCs/>
          <w:color w:val="1F3864"/>
          <w:sz w:val="28"/>
          <w:szCs w:val="28"/>
        </w:rPr>
        <w:t xml:space="preserve">10. How to use this profile</w:t>
      </w:r>
    </w:p>
    <w:p>
      <w:pPr>
        <w:spacing w:after="120"/>
      </w:pPr>
      <w:r>
        <w:rPr>
          <w:rFonts w:ascii="Arial" w:cs="Arial" w:eastAsia="Arial" w:hAnsi="Arial"/>
          <w:sz w:val="21"/>
          <w:szCs w:val="21"/>
        </w:rPr>
        <w:t xml:space="preserve">Use this single company across all your GRC projects so the portfolio reads as one body of work. The weaknesses in section 6 are deliberate.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Project</w:t>
            </w:r>
          </w:p>
        </w:tc>
        <w:tc>
          <w:tcPr>
            <w:tcW w:type="dxa" w:w="6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What to use from this profile</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Risk register</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Assets A01 to A14, threats such as phishing, ransomware and insider error, and the controls in section 6</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NIST CSF 2.0 gap assessment</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Score each function against section 6 and set target maturity based on the business drivers in section 2</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Cyber Essentials review</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Compare sections 4 and 6 against the five Cyber Essentials controls</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ISO 27001 SoA and policies</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Use the assets, risks and current state to justify which Annex A controls apply</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UK GDPR documents</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Section 5 for the record of processing, and the past incident for a breach assessment</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color w:val="000000"/>
                <w:sz w:val="19"/>
                <w:szCs w:val="19"/>
              </w:rPr>
              <w:t xml:space="preserve">Third-party risk assessment</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The IT contractor, cloud platforms and ISP as suppliers</w:t>
            </w:r>
          </w:p>
        </w:tc>
      </w:tr>
    </w:tbl>
    <w:p>
      <w:pPr>
        <w:spacing w:after="60"/>
      </w:pPr>
    </w:p>
    <w:p>
      <w:pPr>
        <w:pStyle w:val="Heading2"/>
        <w:spacing w:after="80" w:before="180"/>
      </w:pPr>
      <w:r>
        <w:rPr>
          <w:rFonts w:ascii="Arial" w:cs="Arial" w:eastAsia="Arial" w:hAnsi="Arial"/>
          <w:b/>
          <w:bCs/>
          <w:color w:val="1F3864"/>
          <w:sz w:val="23"/>
          <w:szCs w:val="23"/>
        </w:rPr>
        <w:t xml:space="preserve">Assumptions and ground rules</w:t>
      </w:r>
    </w:p>
    <w:p>
      <w:pPr>
        <w:pStyle w:val="ListParagraph"/>
        <w:numPr>
          <w:ilvl w:val="0"/>
          <w:numId w:val="2"/>
        </w:numPr>
        <w:spacing w:after="60"/>
      </w:pPr>
      <w:r>
        <w:rPr>
          <w:rFonts w:ascii="Arial" w:cs="Arial" w:eastAsia="Arial" w:hAnsi="Arial"/>
          <w:sz w:val="21"/>
          <w:szCs w:val="21"/>
        </w:rPr>
        <w:t xml:space="preserve">Keep these facts consistent. If you change the profile, update every document and note the version.</w:t>
      </w:r>
    </w:p>
    <w:p>
      <w:pPr>
        <w:pStyle w:val="ListParagraph"/>
        <w:numPr>
          <w:ilvl w:val="0"/>
          <w:numId w:val="2"/>
        </w:numPr>
        <w:spacing w:after="60"/>
      </w:pPr>
      <w:r>
        <w:rPr>
          <w:rFonts w:ascii="Arial" w:cs="Arial" w:eastAsia="Arial" w:hAnsi="Arial"/>
          <w:sz w:val="21"/>
          <w:szCs w:val="21"/>
        </w:rPr>
        <w:t xml:space="preserve">Put the fictional disclaimer on every deliverable.</w:t>
      </w:r>
    </w:p>
    <w:p>
      <w:pPr>
        <w:pStyle w:val="ListParagraph"/>
        <w:numPr>
          <w:ilvl w:val="0"/>
          <w:numId w:val="2"/>
        </w:numPr>
        <w:spacing w:after="60"/>
      </w:pPr>
      <w:r>
        <w:rPr>
          <w:rFonts w:ascii="Arial" w:cs="Arial" w:eastAsia="Arial" w:hAnsi="Arial"/>
          <w:sz w:val="21"/>
          <w:szCs w:val="21"/>
        </w:rPr>
        <w:t xml:space="preserve">The scenario is invented, but your analysis, scoring and recommendations should be your own genuine work.</w:t>
      </w:r>
    </w:p>
    <w:p>
      <w:pPr>
        <w:pStyle w:val="ListParagraph"/>
        <w:numPr>
          <w:ilvl w:val="0"/>
          <w:numId w:val="2"/>
        </w:numPr>
        <w:spacing w:after="60"/>
      </w:pPr>
      <w:r>
        <w:rPr>
          <w:rFonts w:ascii="Arial" w:cs="Arial" w:eastAsia="Arial" w:hAnsi="Arial"/>
          <w:sz w:val="21"/>
          <w:szCs w:val="21"/>
        </w:rPr>
        <w:t xml:space="preserve">State any extra assumptions you make at the start of each report.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2026-10-04T18:26:08.721Z</dcterms:created>
  <dcterms:modified xsi:type="dcterms:W3CDTF">2026-10-04T18:26:08.721Z</dcterms:modified>
</cp:coreProperties>
</file>

<file path=docProps/custom.xml><?xml version="1.0" encoding="utf-8"?>
<Properties xmlns="http://schemas.openxmlformats.org/officeDocument/2006/custom-properties" xmlns:vt="http://schemas.openxmlformats.org/officeDocument/2006/docPropsVTypes"/>
</file>