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rPr>
        <w:t>CU1 — Social Media Marketing:</w:t>
        <w:br/>
        <w:t>Optimisation Report</w:t>
      </w:r>
    </w:p>
    <w:p>
      <w:pPr>
        <w:spacing w:after="40"/>
      </w:pPr>
      <w:r>
        <w:rPr>
          <w:b/>
          <w:sz w:val="20"/>
        </w:rPr>
        <w:t xml:space="preserve">Ref: </w:t>
      </w:r>
      <w:r>
        <w:rPr>
          <w:sz w:val="20"/>
        </w:rPr>
        <w:t>TVETLIPIS-CU1-SMM-006</w:t>
      </w:r>
    </w:p>
    <w:p>
      <w:pPr>
        <w:spacing w:after="40"/>
      </w:pPr>
      <w:r>
        <w:rPr>
          <w:b/>
          <w:sz w:val="20"/>
        </w:rPr>
        <w:t xml:space="preserve">Organisation: </w:t>
      </w:r>
      <w:r>
        <w:rPr>
          <w:sz w:val="20"/>
        </w:rPr>
        <w:t>Kolej Islam Antarabangsa Kuala Lipis (KIAK) / TVET Lipis</w:t>
      </w:r>
    </w:p>
    <w:p>
      <w:pPr>
        <w:spacing w:after="40"/>
      </w:pPr>
      <w:r>
        <w:rPr>
          <w:b/>
          <w:sz w:val="20"/>
        </w:rPr>
        <w:t xml:space="preserve">Prepared by: </w:t>
      </w:r>
      <w:r>
        <w:rPr>
          <w:sz w:val="20"/>
        </w:rPr>
        <w:t>Zuriel Seong Ming Ee</w:t>
      </w:r>
    </w:p>
    <w:p>
      <w:pPr>
        <w:spacing w:after="40"/>
      </w:pPr>
      <w:r>
        <w:rPr>
          <w:b/>
          <w:sz w:val="20"/>
        </w:rPr>
        <w:t xml:space="preserve">Report Period: </w:t>
      </w:r>
      <w:r>
        <w:rPr>
          <w:sz w:val="20"/>
        </w:rPr>
        <w:t>Q2 2025 (April – June 2025)</w:t>
      </w:r>
    </w:p>
    <w:p>
      <w:pPr>
        <w:spacing w:after="40"/>
      </w:pPr>
      <w:r>
        <w:rPr>
          <w:b/>
          <w:sz w:val="20"/>
        </w:rPr>
        <w:t xml:space="preserve">Work Activities Covered: </w:t>
      </w:r>
      <w:r>
        <w:rPr>
          <w:sz w:val="20"/>
        </w:rPr>
        <w:t>WA5 (Monitor &amp; Evaluate), WA6 (Optimise)</w:t>
      </w:r>
    </w:p>
    <w:p>
      <w:pPr>
        <w:pStyle w:val="Heading2"/>
        <w:jc w:val="left"/>
      </w:pPr>
      <w:r>
        <w:rPr>
          <w:color w:val="1F3864"/>
        </w:rPr>
        <w:t>1. Strategic Purpose</w:t>
      </w:r>
    </w:p>
    <w:p>
      <w:r>
        <w:t>This optimisation report evaluates the performance of TVET Lipis's social media marketing campaigns on Meta Ads (Facebook + Instagram) for Q2 2025, documents the optimisation decisions made by management, and presents a forward-looking action plan for H2 2025. The report demonstrates a data-driven management approach: diagnose → decide → act → measure.</w:t>
      </w:r>
    </w:p>
    <w:p>
      <w:pPr>
        <w:pStyle w:val="Heading2"/>
        <w:jc w:val="left"/>
      </w:pPr>
      <w:r>
        <w:rPr>
          <w:color w:val="1F3864"/>
        </w:rPr>
        <w:t>2. Creative Performance Analysis</w:t>
      </w:r>
    </w:p>
    <w:p>
      <w:r>
        <w:t>The following chart compares Click-Through Rate (CTR) across all ad creatives run in Q2 2025. The benchmark CTR for Malaysian education ads is 1.50%. Creatives below benchmark were paused or refreshed; creatives above benchmark received increased budget allocation.</w:t>
      </w:r>
    </w:p>
    <w:p>
      <w:pPr>
        <w:jc w:val="center"/>
      </w:pPr>
      <w:r>
        <w:drawing>
          <wp:inline xmlns:a="http://schemas.openxmlformats.org/drawingml/2006/main" xmlns:pic="http://schemas.openxmlformats.org/drawingml/2006/picture">
            <wp:extent cx="5029200" cy="24742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474282"/>
                    </a:xfrm>
                    <a:prstGeom prst="rect"/>
                  </pic:spPr>
                </pic:pic>
              </a:graphicData>
            </a:graphic>
          </wp:inline>
        </w:drawing>
      </w:r>
    </w:p>
    <w:p>
      <w:pPr>
        <w:jc w:val="center"/>
      </w:pPr>
      <w:r>
        <w:rPr>
          <w:i/>
          <w:sz w:val="18"/>
        </w:rPr>
        <w:t>Figure 1: CTR by Ad Creative (Green = above benchmark, Red = below benchmark)</w:t>
      </w:r>
    </w:p>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18"/>
              </w:rPr>
              <w:t>Creative</w:t>
            </w:r>
          </w:p>
        </w:tc>
        <w:tc>
          <w:tcPr>
            <w:tcW w:type="dxa" w:w="1824"/>
            <w:shd w:val="clear" w:color="auto" w:fill="1F3864"/>
          </w:tcPr>
          <w:p>
            <w:pPr>
              <w:jc w:val="center"/>
            </w:pPr>
            <w:r>
              <w:rPr>
                <w:b/>
                <w:color w:val="FFFFFF"/>
                <w:sz w:val="18"/>
              </w:rPr>
              <w:t>Format</w:t>
            </w:r>
          </w:p>
        </w:tc>
        <w:tc>
          <w:tcPr>
            <w:tcW w:type="dxa" w:w="1824"/>
            <w:shd w:val="clear" w:color="auto" w:fill="1F3864"/>
          </w:tcPr>
          <w:p>
            <w:pPr>
              <w:jc w:val="center"/>
            </w:pPr>
            <w:r>
              <w:rPr>
                <w:b/>
                <w:color w:val="FFFFFF"/>
                <w:sz w:val="18"/>
              </w:rPr>
              <w:t>CTR</w:t>
            </w:r>
          </w:p>
        </w:tc>
        <w:tc>
          <w:tcPr>
            <w:tcW w:type="dxa" w:w="1824"/>
            <w:shd w:val="clear" w:color="auto" w:fill="1F3864"/>
          </w:tcPr>
          <w:p>
            <w:pPr>
              <w:jc w:val="center"/>
            </w:pPr>
            <w:r>
              <w:rPr>
                <w:b/>
                <w:color w:val="FFFFFF"/>
                <w:sz w:val="18"/>
              </w:rPr>
              <w:t>vs Benchmark</w:t>
            </w:r>
          </w:p>
        </w:tc>
        <w:tc>
          <w:tcPr>
            <w:tcW w:type="dxa" w:w="1824"/>
            <w:shd w:val="clear" w:color="auto" w:fill="1F3864"/>
          </w:tcPr>
          <w:p>
            <w:pPr>
              <w:jc w:val="center"/>
            </w:pPr>
            <w:r>
              <w:rPr>
                <w:b/>
                <w:color w:val="FFFFFF"/>
                <w:sz w:val="18"/>
              </w:rPr>
              <w:t>Decision</w:t>
            </w:r>
          </w:p>
        </w:tc>
      </w:tr>
      <w:tr>
        <w:tc>
          <w:tcPr>
            <w:tcW w:type="dxa" w:w="1824"/>
            <w:shd w:val="clear" w:color="auto" w:fill="F2F2F2"/>
          </w:tcPr>
          <w:p>
            <w:r>
              <w:rPr>
                <w:sz w:val="18"/>
              </w:rPr>
              <w:t>SPM PAKK</w:t>
            </w:r>
          </w:p>
        </w:tc>
        <w:tc>
          <w:tcPr>
            <w:tcW w:type="dxa" w:w="1824"/>
            <w:shd w:val="clear" w:color="auto" w:fill="F2F2F2"/>
          </w:tcPr>
          <w:p>
            <w:r>
              <w:rPr>
                <w:sz w:val="18"/>
              </w:rPr>
              <w:t>Carousel</w:t>
            </w:r>
          </w:p>
        </w:tc>
        <w:tc>
          <w:tcPr>
            <w:tcW w:type="dxa" w:w="1824"/>
            <w:shd w:val="clear" w:color="auto" w:fill="F2F2F2"/>
          </w:tcPr>
          <w:p>
            <w:r>
              <w:rPr>
                <w:sz w:val="18"/>
              </w:rPr>
              <w:t>2.01%</w:t>
            </w:r>
          </w:p>
        </w:tc>
        <w:tc>
          <w:tcPr>
            <w:tcW w:type="dxa" w:w="1824"/>
            <w:shd w:val="clear" w:color="auto" w:fill="F2F2F2"/>
          </w:tcPr>
          <w:p>
            <w:r>
              <w:rPr>
                <w:sz w:val="18"/>
              </w:rPr>
              <w:t>+0.51pp ✅</w:t>
            </w:r>
          </w:p>
        </w:tc>
        <w:tc>
          <w:tcPr>
            <w:tcW w:type="dxa" w:w="1824"/>
            <w:shd w:val="clear" w:color="auto" w:fill="F2F2F2"/>
          </w:tcPr>
          <w:p>
            <w:r>
              <w:rPr>
                <w:sz w:val="18"/>
              </w:rPr>
              <w:t>Scale up — increase budget 30%</w:t>
            </w:r>
          </w:p>
        </w:tc>
      </w:tr>
      <w:tr>
        <w:tc>
          <w:tcPr>
            <w:tcW w:type="dxa" w:w="1824"/>
            <w:shd w:val="clear" w:color="auto" w:fill="FFFFFF"/>
          </w:tcPr>
          <w:p>
            <w:r>
              <w:rPr>
                <w:sz w:val="18"/>
              </w:rPr>
              <w:t>Graduation</w:t>
            </w:r>
          </w:p>
        </w:tc>
        <w:tc>
          <w:tcPr>
            <w:tcW w:type="dxa" w:w="1824"/>
            <w:shd w:val="clear" w:color="auto" w:fill="FFFFFF"/>
          </w:tcPr>
          <w:p>
            <w:r>
              <w:rPr>
                <w:sz w:val="18"/>
              </w:rPr>
              <w:t>Video</w:t>
            </w:r>
          </w:p>
        </w:tc>
        <w:tc>
          <w:tcPr>
            <w:tcW w:type="dxa" w:w="1824"/>
            <w:shd w:val="clear" w:color="auto" w:fill="FFFFFF"/>
          </w:tcPr>
          <w:p>
            <w:r>
              <w:rPr>
                <w:sz w:val="18"/>
              </w:rPr>
              <w:t>1.78%</w:t>
            </w:r>
          </w:p>
        </w:tc>
        <w:tc>
          <w:tcPr>
            <w:tcW w:type="dxa" w:w="1824"/>
            <w:shd w:val="clear" w:color="auto" w:fill="FFFFFF"/>
          </w:tcPr>
          <w:p>
            <w:r>
              <w:rPr>
                <w:sz w:val="18"/>
              </w:rPr>
              <w:t>+0.28pp ✅</w:t>
            </w:r>
          </w:p>
        </w:tc>
        <w:tc>
          <w:tcPr>
            <w:tcW w:type="dxa" w:w="1824"/>
            <w:shd w:val="clear" w:color="auto" w:fill="FFFFFF"/>
          </w:tcPr>
          <w:p>
            <w:r>
              <w:rPr>
                <w:sz w:val="18"/>
              </w:rPr>
              <w:t>Maintain — produce new variant</w:t>
            </w:r>
          </w:p>
        </w:tc>
      </w:tr>
      <w:tr>
        <w:tc>
          <w:tcPr>
            <w:tcW w:type="dxa" w:w="1824"/>
            <w:shd w:val="clear" w:color="auto" w:fill="F2F2F2"/>
          </w:tcPr>
          <w:p>
            <w:r>
              <w:rPr>
                <w:sz w:val="18"/>
              </w:rPr>
              <w:t>Testimonial</w:t>
            </w:r>
          </w:p>
        </w:tc>
        <w:tc>
          <w:tcPr>
            <w:tcW w:type="dxa" w:w="1824"/>
            <w:shd w:val="clear" w:color="auto" w:fill="F2F2F2"/>
          </w:tcPr>
          <w:p>
            <w:r>
              <w:rPr>
                <w:sz w:val="18"/>
              </w:rPr>
              <w:t>Carousel</w:t>
            </w:r>
          </w:p>
        </w:tc>
        <w:tc>
          <w:tcPr>
            <w:tcW w:type="dxa" w:w="1824"/>
            <w:shd w:val="clear" w:color="auto" w:fill="F2F2F2"/>
          </w:tcPr>
          <w:p>
            <w:r>
              <w:rPr>
                <w:sz w:val="18"/>
              </w:rPr>
              <w:t>1.65%</w:t>
            </w:r>
          </w:p>
        </w:tc>
        <w:tc>
          <w:tcPr>
            <w:tcW w:type="dxa" w:w="1824"/>
            <w:shd w:val="clear" w:color="auto" w:fill="F2F2F2"/>
          </w:tcPr>
          <w:p>
            <w:r>
              <w:rPr>
                <w:sz w:val="18"/>
              </w:rPr>
              <w:t>+0.15pp ✅</w:t>
            </w:r>
          </w:p>
        </w:tc>
        <w:tc>
          <w:tcPr>
            <w:tcW w:type="dxa" w:w="1824"/>
            <w:shd w:val="clear" w:color="auto" w:fill="F2F2F2"/>
          </w:tcPr>
          <w:p>
            <w:r>
              <w:rPr>
                <w:sz w:val="18"/>
              </w:rPr>
              <w:t>Maintain</w:t>
            </w:r>
          </w:p>
        </w:tc>
      </w:tr>
      <w:tr>
        <w:tc>
          <w:tcPr>
            <w:tcW w:type="dxa" w:w="1824"/>
            <w:shd w:val="clear" w:color="auto" w:fill="FFFFFF"/>
          </w:tcPr>
          <w:p>
            <w:r>
              <w:rPr>
                <w:sz w:val="18"/>
              </w:rPr>
              <w:t>Generic</w:t>
            </w:r>
          </w:p>
        </w:tc>
        <w:tc>
          <w:tcPr>
            <w:tcW w:type="dxa" w:w="1824"/>
            <w:shd w:val="clear" w:color="auto" w:fill="FFFFFF"/>
          </w:tcPr>
          <w:p>
            <w:r>
              <w:rPr>
                <w:sz w:val="18"/>
              </w:rPr>
              <w:t>Single Image</w:t>
            </w:r>
          </w:p>
        </w:tc>
        <w:tc>
          <w:tcPr>
            <w:tcW w:type="dxa" w:w="1824"/>
            <w:shd w:val="clear" w:color="auto" w:fill="FFFFFF"/>
          </w:tcPr>
          <w:p>
            <w:r>
              <w:rPr>
                <w:sz w:val="18"/>
              </w:rPr>
              <w:t>1.23%</w:t>
            </w:r>
          </w:p>
        </w:tc>
        <w:tc>
          <w:tcPr>
            <w:tcW w:type="dxa" w:w="1824"/>
            <w:shd w:val="clear" w:color="auto" w:fill="FFFFFF"/>
          </w:tcPr>
          <w:p>
            <w:r>
              <w:rPr>
                <w:sz w:val="18"/>
              </w:rPr>
              <w:t>-0.27pp ❌</w:t>
            </w:r>
          </w:p>
        </w:tc>
        <w:tc>
          <w:tcPr>
            <w:tcW w:type="dxa" w:w="1824"/>
            <w:shd w:val="clear" w:color="auto" w:fill="FFFFFF"/>
          </w:tcPr>
          <w:p>
            <w:r>
              <w:rPr>
                <w:sz w:val="18"/>
              </w:rPr>
              <w:t>Pause — refresh creative</w:t>
            </w:r>
          </w:p>
        </w:tc>
      </w:tr>
      <w:tr>
        <w:tc>
          <w:tcPr>
            <w:tcW w:type="dxa" w:w="1824"/>
            <w:shd w:val="clear" w:color="auto" w:fill="F2F2F2"/>
          </w:tcPr>
          <w:p>
            <w:r>
              <w:rPr>
                <w:sz w:val="18"/>
              </w:rPr>
              <w:t>Lifestyle</w:t>
            </w:r>
          </w:p>
        </w:tc>
        <w:tc>
          <w:tcPr>
            <w:tcW w:type="dxa" w:w="1824"/>
            <w:shd w:val="clear" w:color="auto" w:fill="F2F2F2"/>
          </w:tcPr>
          <w:p>
            <w:r>
              <w:rPr>
                <w:sz w:val="18"/>
              </w:rPr>
              <w:t>Single Image</w:t>
            </w:r>
          </w:p>
        </w:tc>
        <w:tc>
          <w:tcPr>
            <w:tcW w:type="dxa" w:w="1824"/>
            <w:shd w:val="clear" w:color="auto" w:fill="F2F2F2"/>
          </w:tcPr>
          <w:p>
            <w:r>
              <w:rPr>
                <w:sz w:val="18"/>
              </w:rPr>
              <w:t>1.45%</w:t>
            </w:r>
          </w:p>
        </w:tc>
        <w:tc>
          <w:tcPr>
            <w:tcW w:type="dxa" w:w="1824"/>
            <w:shd w:val="clear" w:color="auto" w:fill="F2F2F2"/>
          </w:tcPr>
          <w:p>
            <w:r>
              <w:rPr>
                <w:sz w:val="18"/>
              </w:rPr>
              <w:t>-0.05pp ⚠️</w:t>
            </w:r>
          </w:p>
        </w:tc>
        <w:tc>
          <w:tcPr>
            <w:tcW w:type="dxa" w:w="1824"/>
            <w:shd w:val="clear" w:color="auto" w:fill="F2F2F2"/>
          </w:tcPr>
          <w:p>
            <w:r>
              <w:rPr>
                <w:sz w:val="18"/>
              </w:rPr>
              <w:t>A/B test with new copy</w:t>
            </w:r>
          </w:p>
        </w:tc>
      </w:tr>
      <w:tr>
        <w:tc>
          <w:tcPr>
            <w:tcW w:type="dxa" w:w="1824"/>
            <w:shd w:val="clear" w:color="auto" w:fill="FFFFFF"/>
          </w:tcPr>
          <w:p>
            <w:r>
              <w:rPr>
                <w:sz w:val="18"/>
              </w:rPr>
              <w:t>Retargeting</w:t>
            </w:r>
          </w:p>
        </w:tc>
        <w:tc>
          <w:tcPr>
            <w:tcW w:type="dxa" w:w="1824"/>
            <w:shd w:val="clear" w:color="auto" w:fill="FFFFFF"/>
          </w:tcPr>
          <w:p>
            <w:r>
              <w:rPr>
                <w:sz w:val="18"/>
              </w:rPr>
              <w:t>Carousel</w:t>
            </w:r>
          </w:p>
        </w:tc>
        <w:tc>
          <w:tcPr>
            <w:tcW w:type="dxa" w:w="1824"/>
            <w:shd w:val="clear" w:color="auto" w:fill="FFFFFF"/>
          </w:tcPr>
          <w:p>
            <w:r>
              <w:rPr>
                <w:sz w:val="18"/>
              </w:rPr>
              <w:t>2.35%</w:t>
            </w:r>
          </w:p>
        </w:tc>
        <w:tc>
          <w:tcPr>
            <w:tcW w:type="dxa" w:w="1824"/>
            <w:shd w:val="clear" w:color="auto" w:fill="FFFFFF"/>
          </w:tcPr>
          <w:p>
            <w:r>
              <w:rPr>
                <w:sz w:val="18"/>
              </w:rPr>
              <w:t>+0.85pp ✅</w:t>
            </w:r>
          </w:p>
        </w:tc>
        <w:tc>
          <w:tcPr>
            <w:tcW w:type="dxa" w:w="1824"/>
            <w:shd w:val="clear" w:color="auto" w:fill="FFFFFF"/>
          </w:tcPr>
          <w:p>
            <w:r>
              <w:rPr>
                <w:sz w:val="18"/>
              </w:rPr>
              <w:t>Best performer — max budget</w:t>
            </w:r>
          </w:p>
        </w:tc>
      </w:tr>
    </w:tbl>
    <w:p/>
    <w:p>
      <w:pPr>
        <w:pStyle w:val="Heading2"/>
        <w:jc w:val="left"/>
      </w:pPr>
      <w:r>
        <w:rPr>
          <w:color w:val="1F3864"/>
        </w:rPr>
        <w:t>3. Placement Efficiency Analysis</w:t>
      </w:r>
    </w:p>
    <w:p>
      <w:r>
        <w:t>Cost Per Lead (CPL) varies significantly across placements. Management decision: pause all placements with CPL &gt; RM 15.00 and reallocate budget to proven placements.</w:t>
      </w:r>
    </w:p>
    <w:p>
      <w:pPr>
        <w:jc w:val="center"/>
      </w:pPr>
      <w:r>
        <w:drawing>
          <wp:inline xmlns:a="http://schemas.openxmlformats.org/drawingml/2006/main" xmlns:pic="http://schemas.openxmlformats.org/drawingml/2006/picture">
            <wp:extent cx="5029200" cy="24806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480619"/>
                    </a:xfrm>
                    <a:prstGeom prst="rect"/>
                  </pic:spPr>
                </pic:pic>
              </a:graphicData>
            </a:graphic>
          </wp:inline>
        </w:drawing>
      </w:r>
    </w:p>
    <w:p>
      <w:pPr>
        <w:jc w:val="center"/>
      </w:pPr>
      <w:r>
        <w:rPr>
          <w:i/>
          <w:sz w:val="18"/>
        </w:rPr>
        <w:t>Figure 2: CPL by Placement (Green ≤ RM10, Orange RM10–20, Red &gt; RM20)</w:t>
      </w:r>
    </w:p>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18"/>
              </w:rPr>
              <w:t>Placement</w:t>
            </w:r>
          </w:p>
        </w:tc>
        <w:tc>
          <w:tcPr>
            <w:tcW w:type="dxa" w:w="1824"/>
            <w:shd w:val="clear" w:color="auto" w:fill="1F3864"/>
          </w:tcPr>
          <w:p>
            <w:pPr>
              <w:jc w:val="center"/>
            </w:pPr>
            <w:r>
              <w:rPr>
                <w:b/>
                <w:color w:val="FFFFFF"/>
                <w:sz w:val="18"/>
              </w:rPr>
              <w:t>Spend</w:t>
            </w:r>
          </w:p>
        </w:tc>
        <w:tc>
          <w:tcPr>
            <w:tcW w:type="dxa" w:w="1824"/>
            <w:shd w:val="clear" w:color="auto" w:fill="1F3864"/>
          </w:tcPr>
          <w:p>
            <w:pPr>
              <w:jc w:val="center"/>
            </w:pPr>
            <w:r>
              <w:rPr>
                <w:b/>
                <w:color w:val="FFFFFF"/>
                <w:sz w:val="18"/>
              </w:rPr>
              <w:t>Leads</w:t>
            </w:r>
          </w:p>
        </w:tc>
        <w:tc>
          <w:tcPr>
            <w:tcW w:type="dxa" w:w="1824"/>
            <w:shd w:val="clear" w:color="auto" w:fill="1F3864"/>
          </w:tcPr>
          <w:p>
            <w:pPr>
              <w:jc w:val="center"/>
            </w:pPr>
            <w:r>
              <w:rPr>
                <w:b/>
                <w:color w:val="FFFFFF"/>
                <w:sz w:val="18"/>
              </w:rPr>
              <w:t>CPL</w:t>
            </w:r>
          </w:p>
        </w:tc>
        <w:tc>
          <w:tcPr>
            <w:tcW w:type="dxa" w:w="1824"/>
            <w:shd w:val="clear" w:color="auto" w:fill="1F3864"/>
          </w:tcPr>
          <w:p>
            <w:pPr>
              <w:jc w:val="center"/>
            </w:pPr>
            <w:r>
              <w:rPr>
                <w:b/>
                <w:color w:val="FFFFFF"/>
                <w:sz w:val="18"/>
              </w:rPr>
              <w:t>Decision</w:t>
            </w:r>
          </w:p>
        </w:tc>
      </w:tr>
      <w:tr>
        <w:tc>
          <w:tcPr>
            <w:tcW w:type="dxa" w:w="1824"/>
            <w:shd w:val="clear" w:color="auto" w:fill="F2F2F2"/>
          </w:tcPr>
          <w:p>
            <w:r>
              <w:rPr>
                <w:sz w:val="18"/>
              </w:rPr>
              <w:t>FB News Feed</w:t>
            </w:r>
          </w:p>
        </w:tc>
        <w:tc>
          <w:tcPr>
            <w:tcW w:type="dxa" w:w="1824"/>
            <w:shd w:val="clear" w:color="auto" w:fill="F2F2F2"/>
          </w:tcPr>
          <w:p>
            <w:r>
              <w:rPr>
                <w:sz w:val="18"/>
              </w:rPr>
              <w:t>RM 1,850</w:t>
            </w:r>
          </w:p>
        </w:tc>
        <w:tc>
          <w:tcPr>
            <w:tcW w:type="dxa" w:w="1824"/>
            <w:shd w:val="clear" w:color="auto" w:fill="F2F2F2"/>
          </w:tcPr>
          <w:p>
            <w:r>
              <w:rPr>
                <w:sz w:val="18"/>
              </w:rPr>
              <w:t>533</w:t>
            </w:r>
          </w:p>
        </w:tc>
        <w:tc>
          <w:tcPr>
            <w:tcW w:type="dxa" w:w="1824"/>
            <w:shd w:val="clear" w:color="auto" w:fill="F2F2F2"/>
          </w:tcPr>
          <w:p>
            <w:r>
              <w:rPr>
                <w:sz w:val="18"/>
              </w:rPr>
              <w:t>RM 3.47</w:t>
            </w:r>
          </w:p>
        </w:tc>
        <w:tc>
          <w:tcPr>
            <w:tcW w:type="dxa" w:w="1824"/>
            <w:shd w:val="clear" w:color="auto" w:fill="F2F2F2"/>
          </w:tcPr>
          <w:p>
            <w:r>
              <w:rPr>
                <w:sz w:val="18"/>
              </w:rPr>
              <w:t>✅ Scale — increase to RM 2,400/month</w:t>
            </w:r>
          </w:p>
        </w:tc>
      </w:tr>
      <w:tr>
        <w:tc>
          <w:tcPr>
            <w:tcW w:type="dxa" w:w="1824"/>
            <w:shd w:val="clear" w:color="auto" w:fill="FFFFFF"/>
          </w:tcPr>
          <w:p>
            <w:r>
              <w:rPr>
                <w:sz w:val="18"/>
              </w:rPr>
              <w:t>IG Feed</w:t>
            </w:r>
          </w:p>
        </w:tc>
        <w:tc>
          <w:tcPr>
            <w:tcW w:type="dxa" w:w="1824"/>
            <w:shd w:val="clear" w:color="auto" w:fill="FFFFFF"/>
          </w:tcPr>
          <w:p>
            <w:r>
              <w:rPr>
                <w:sz w:val="18"/>
              </w:rPr>
              <w:t>RM 712</w:t>
            </w:r>
          </w:p>
        </w:tc>
        <w:tc>
          <w:tcPr>
            <w:tcW w:type="dxa" w:w="1824"/>
            <w:shd w:val="clear" w:color="auto" w:fill="FFFFFF"/>
          </w:tcPr>
          <w:p>
            <w:r>
              <w:rPr>
                <w:sz w:val="18"/>
              </w:rPr>
              <w:t>80</w:t>
            </w:r>
          </w:p>
        </w:tc>
        <w:tc>
          <w:tcPr>
            <w:tcW w:type="dxa" w:w="1824"/>
            <w:shd w:val="clear" w:color="auto" w:fill="FFFFFF"/>
          </w:tcPr>
          <w:p>
            <w:r>
              <w:rPr>
                <w:sz w:val="18"/>
              </w:rPr>
              <w:t>RM 8.92</w:t>
            </w:r>
          </w:p>
        </w:tc>
        <w:tc>
          <w:tcPr>
            <w:tcW w:type="dxa" w:w="1824"/>
            <w:shd w:val="clear" w:color="auto" w:fill="FFFFFF"/>
          </w:tcPr>
          <w:p>
            <w:r>
              <w:rPr>
                <w:sz w:val="18"/>
              </w:rPr>
              <w:t>✅ Maintain — better content needed</w:t>
            </w:r>
          </w:p>
        </w:tc>
      </w:tr>
      <w:tr>
        <w:tc>
          <w:tcPr>
            <w:tcW w:type="dxa" w:w="1824"/>
            <w:shd w:val="clear" w:color="auto" w:fill="F2F2F2"/>
          </w:tcPr>
          <w:p>
            <w:r>
              <w:rPr>
                <w:sz w:val="18"/>
              </w:rPr>
              <w:t>FB Right Column</w:t>
            </w:r>
          </w:p>
        </w:tc>
        <w:tc>
          <w:tcPr>
            <w:tcW w:type="dxa" w:w="1824"/>
            <w:shd w:val="clear" w:color="auto" w:fill="F2F2F2"/>
          </w:tcPr>
          <w:p>
            <w:r>
              <w:rPr>
                <w:sz w:val="18"/>
              </w:rPr>
              <w:t>RM 498</w:t>
            </w:r>
          </w:p>
        </w:tc>
        <w:tc>
          <w:tcPr>
            <w:tcW w:type="dxa" w:w="1824"/>
            <w:shd w:val="clear" w:color="auto" w:fill="F2F2F2"/>
          </w:tcPr>
          <w:p>
            <w:r>
              <w:rPr>
                <w:sz w:val="18"/>
              </w:rPr>
              <w:t>40</w:t>
            </w:r>
          </w:p>
        </w:tc>
        <w:tc>
          <w:tcPr>
            <w:tcW w:type="dxa" w:w="1824"/>
            <w:shd w:val="clear" w:color="auto" w:fill="F2F2F2"/>
          </w:tcPr>
          <w:p>
            <w:r>
              <w:rPr>
                <w:sz w:val="18"/>
              </w:rPr>
              <w:t>RM 12.45</w:t>
            </w:r>
          </w:p>
        </w:tc>
        <w:tc>
          <w:tcPr>
            <w:tcW w:type="dxa" w:w="1824"/>
            <w:shd w:val="clear" w:color="auto" w:fill="F2F2F2"/>
          </w:tcPr>
          <w:p>
            <w:r>
              <w:rPr>
                <w:sz w:val="18"/>
              </w:rPr>
              <w:t>⚠️ Monitor — reduce by 30%</w:t>
            </w:r>
          </w:p>
        </w:tc>
      </w:tr>
      <w:tr>
        <w:tc>
          <w:tcPr>
            <w:tcW w:type="dxa" w:w="1824"/>
            <w:shd w:val="clear" w:color="auto" w:fill="FFFFFF"/>
          </w:tcPr>
          <w:p>
            <w:r>
              <w:rPr>
                <w:sz w:val="18"/>
              </w:rPr>
              <w:t>Audience Network</w:t>
            </w:r>
          </w:p>
        </w:tc>
        <w:tc>
          <w:tcPr>
            <w:tcW w:type="dxa" w:w="1824"/>
            <w:shd w:val="clear" w:color="auto" w:fill="FFFFFF"/>
          </w:tcPr>
          <w:p>
            <w:r>
              <w:rPr>
                <w:sz w:val="18"/>
              </w:rPr>
              <w:t>RM 441</w:t>
            </w:r>
          </w:p>
        </w:tc>
        <w:tc>
          <w:tcPr>
            <w:tcW w:type="dxa" w:w="1824"/>
            <w:shd w:val="clear" w:color="auto" w:fill="FFFFFF"/>
          </w:tcPr>
          <w:p>
            <w:r>
              <w:rPr>
                <w:sz w:val="18"/>
              </w:rPr>
              <w:t>20</w:t>
            </w:r>
          </w:p>
        </w:tc>
        <w:tc>
          <w:tcPr>
            <w:tcW w:type="dxa" w:w="1824"/>
            <w:shd w:val="clear" w:color="auto" w:fill="FFFFFF"/>
          </w:tcPr>
          <w:p>
            <w:r>
              <w:rPr>
                <w:sz w:val="18"/>
              </w:rPr>
              <w:t>RM 22.10</w:t>
            </w:r>
          </w:p>
        </w:tc>
        <w:tc>
          <w:tcPr>
            <w:tcW w:type="dxa" w:w="1824"/>
            <w:shd w:val="clear" w:color="auto" w:fill="FFFFFF"/>
          </w:tcPr>
          <w:p>
            <w:r>
              <w:rPr>
                <w:sz w:val="18"/>
              </w:rPr>
              <w:t>❌ Pause — budget reallocated</w:t>
            </w:r>
          </w:p>
        </w:tc>
      </w:tr>
      <w:tr>
        <w:tc>
          <w:tcPr>
            <w:tcW w:type="dxa" w:w="1824"/>
            <w:shd w:val="clear" w:color="auto" w:fill="F2F2F2"/>
          </w:tcPr>
          <w:p>
            <w:r>
              <w:rPr>
                <w:sz w:val="18"/>
              </w:rPr>
              <w:t>IG Stories</w:t>
            </w:r>
          </w:p>
        </w:tc>
        <w:tc>
          <w:tcPr>
            <w:tcW w:type="dxa" w:w="1824"/>
            <w:shd w:val="clear" w:color="auto" w:fill="F2F2F2"/>
          </w:tcPr>
          <w:p>
            <w:r>
              <w:rPr>
                <w:sz w:val="18"/>
              </w:rPr>
              <w:t>RM 898</w:t>
            </w:r>
          </w:p>
        </w:tc>
        <w:tc>
          <w:tcPr>
            <w:tcW w:type="dxa" w:w="1824"/>
            <w:shd w:val="clear" w:color="auto" w:fill="F2F2F2"/>
          </w:tcPr>
          <w:p>
            <w:r>
              <w:rPr>
                <w:sz w:val="18"/>
              </w:rPr>
              <w:t>25</w:t>
            </w:r>
          </w:p>
        </w:tc>
        <w:tc>
          <w:tcPr>
            <w:tcW w:type="dxa" w:w="1824"/>
            <w:shd w:val="clear" w:color="auto" w:fill="F2F2F2"/>
          </w:tcPr>
          <w:p>
            <w:r>
              <w:rPr>
                <w:sz w:val="18"/>
              </w:rPr>
              <w:t>RM 35.97</w:t>
            </w:r>
          </w:p>
        </w:tc>
        <w:tc>
          <w:tcPr>
            <w:tcW w:type="dxa" w:w="1824"/>
            <w:shd w:val="clear" w:color="auto" w:fill="F2F2F2"/>
          </w:tcPr>
          <w:p>
            <w:r>
              <w:rPr>
                <w:sz w:val="18"/>
              </w:rPr>
              <w:t>❌ Pause — budget reallocated</w:t>
            </w:r>
          </w:p>
        </w:tc>
      </w:tr>
    </w:tbl>
    <w:p/>
    <w:p>
      <w:pPr>
        <w:pStyle w:val="Heading2"/>
        <w:jc w:val="left"/>
      </w:pPr>
      <w:r>
        <w:rPr>
          <w:color w:val="1F3864"/>
        </w:rPr>
        <w:t>4. Budget Reallocation Decision</w:t>
      </w:r>
    </w:p>
    <w:p>
      <w:r>
        <w:t>Based on placement efficiency data, management approved the following budget reallocation for Q3 2025. Total monthly budget maintained at RM 4,000. Savings from paused placements redirected to FB News Feed and Retargeting.</w:t>
      </w:r>
    </w:p>
    <w:p>
      <w:pPr>
        <w:jc w:val="center"/>
      </w:pPr>
      <w:r>
        <w:drawing>
          <wp:inline xmlns:a="http://schemas.openxmlformats.org/drawingml/2006/main" xmlns:pic="http://schemas.openxmlformats.org/drawingml/2006/picture">
            <wp:extent cx="5029200" cy="24844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484440"/>
                    </a:xfrm>
                    <a:prstGeom prst="rect"/>
                  </pic:spPr>
                </pic:pic>
              </a:graphicData>
            </a:graphic>
          </wp:inline>
        </w:drawing>
      </w:r>
    </w:p>
    <w:p>
      <w:pPr>
        <w:jc w:val="center"/>
      </w:pPr>
      <w:r>
        <w:rPr>
          <w:i/>
          <w:sz w:val="18"/>
        </w:rPr>
        <w:t>Figure 3: Monthly Budget Allocation Before vs After Optimisation</w:t>
      </w:r>
    </w:p>
    <w:p/>
    <w:p>
      <w:pPr>
        <w:pStyle w:val="Heading2"/>
        <w:jc w:val="left"/>
      </w:pPr>
      <w:r>
        <w:rPr>
          <w:color w:val="1F3864"/>
        </w:rPr>
        <w:t>5. Performance Trend (Weekly CTR)</w:t>
      </w:r>
    </w:p>
    <w:p>
      <w:r>
        <w:t>The following chart shows the weekly CTR improvement trajectory from the start of Q2 2025 following each optimisation action. Key interventions are annotated on the chart.</w:t>
      </w:r>
    </w:p>
    <w:p>
      <w:pPr>
        <w:jc w:val="center"/>
      </w:pPr>
      <w:r>
        <w:drawing>
          <wp:inline xmlns:a="http://schemas.openxmlformats.org/drawingml/2006/main" xmlns:pic="http://schemas.openxmlformats.org/drawingml/2006/picture">
            <wp:extent cx="5029200" cy="220922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209229"/>
                    </a:xfrm>
                    <a:prstGeom prst="rect"/>
                  </pic:spPr>
                </pic:pic>
              </a:graphicData>
            </a:graphic>
          </wp:inline>
        </w:drawing>
      </w:r>
    </w:p>
    <w:p>
      <w:pPr>
        <w:jc w:val="center"/>
      </w:pPr>
      <w:r>
        <w:rPr>
          <w:i/>
          <w:sz w:val="18"/>
        </w:rPr>
        <w:t>Figure 4: Weekly CTR Trend — Q2 2025 (Benchmark = 1.50%)</w:t>
      </w:r>
    </w:p>
    <w:p/>
    <w:p>
      <w:pPr>
        <w:pStyle w:val="Heading2"/>
        <w:jc w:val="left"/>
      </w:pPr>
      <w:r>
        <w:rPr>
          <w:color w:val="1F3864"/>
        </w:rPr>
        <w:t>6. Q3 2025 Projected Outcomes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KPI</w:t>
            </w:r>
          </w:p>
        </w:tc>
        <w:tc>
          <w:tcPr>
            <w:tcW w:type="dxa" w:w="2280"/>
            <w:shd w:val="clear" w:color="auto" w:fill="1F3864"/>
          </w:tcPr>
          <w:p>
            <w:pPr>
              <w:jc w:val="center"/>
            </w:pPr>
            <w:r>
              <w:rPr>
                <w:b/>
                <w:color w:val="FFFFFF"/>
                <w:sz w:val="18"/>
              </w:rPr>
              <w:t>Q2 2025 Actual</w:t>
            </w:r>
          </w:p>
        </w:tc>
        <w:tc>
          <w:tcPr>
            <w:tcW w:type="dxa" w:w="2280"/>
            <w:shd w:val="clear" w:color="auto" w:fill="1F3864"/>
          </w:tcPr>
          <w:p>
            <w:pPr>
              <w:jc w:val="center"/>
            </w:pPr>
            <w:r>
              <w:rPr>
                <w:b/>
                <w:color w:val="FFFFFF"/>
                <w:sz w:val="18"/>
              </w:rPr>
              <w:t>Q3 2025 Target</w:t>
            </w:r>
          </w:p>
        </w:tc>
        <w:tc>
          <w:tcPr>
            <w:tcW w:type="dxa" w:w="2280"/>
            <w:shd w:val="clear" w:color="auto" w:fill="1F3864"/>
          </w:tcPr>
          <w:p>
            <w:pPr>
              <w:jc w:val="center"/>
            </w:pPr>
            <w:r>
              <w:rPr>
                <w:b/>
                <w:color w:val="FFFFFF"/>
                <w:sz w:val="18"/>
              </w:rPr>
              <w:t>Basis</w:t>
            </w:r>
          </w:p>
        </w:tc>
      </w:tr>
      <w:tr>
        <w:tc>
          <w:tcPr>
            <w:tcW w:type="dxa" w:w="2280"/>
            <w:shd w:val="clear" w:color="auto" w:fill="F2F2F2"/>
          </w:tcPr>
          <w:p>
            <w:r>
              <w:rPr>
                <w:sz w:val="18"/>
              </w:rPr>
              <w:t>Avg CTR</w:t>
            </w:r>
          </w:p>
        </w:tc>
        <w:tc>
          <w:tcPr>
            <w:tcW w:type="dxa" w:w="2280"/>
            <w:shd w:val="clear" w:color="auto" w:fill="F2F2F2"/>
          </w:tcPr>
          <w:p>
            <w:r>
              <w:rPr>
                <w:sz w:val="18"/>
              </w:rPr>
              <w:t>1.89%</w:t>
            </w:r>
          </w:p>
        </w:tc>
        <w:tc>
          <w:tcPr>
            <w:tcW w:type="dxa" w:w="2280"/>
            <w:shd w:val="clear" w:color="auto" w:fill="F2F2F2"/>
          </w:tcPr>
          <w:p>
            <w:r>
              <w:rPr>
                <w:sz w:val="18"/>
              </w:rPr>
              <w:t>2.20%</w:t>
            </w:r>
          </w:p>
        </w:tc>
        <w:tc>
          <w:tcPr>
            <w:tcW w:type="dxa" w:w="2280"/>
            <w:shd w:val="clear" w:color="auto" w:fill="F2F2F2"/>
          </w:tcPr>
          <w:p>
            <w:r>
              <w:rPr>
                <w:sz w:val="18"/>
              </w:rPr>
              <w:t>Creative refresh + Carousel-first approach</w:t>
            </w:r>
          </w:p>
        </w:tc>
      </w:tr>
      <w:tr>
        <w:tc>
          <w:tcPr>
            <w:tcW w:type="dxa" w:w="2280"/>
            <w:shd w:val="clear" w:color="auto" w:fill="FFFFFF"/>
          </w:tcPr>
          <w:p>
            <w:r>
              <w:rPr>
                <w:sz w:val="18"/>
              </w:rPr>
              <w:t>CPL</w:t>
            </w:r>
          </w:p>
        </w:tc>
        <w:tc>
          <w:tcPr>
            <w:tcW w:type="dxa" w:w="2280"/>
            <w:shd w:val="clear" w:color="auto" w:fill="FFFFFF"/>
          </w:tcPr>
          <w:p>
            <w:r>
              <w:rPr>
                <w:sz w:val="18"/>
              </w:rPr>
              <w:t>RM 4.61</w:t>
            </w:r>
          </w:p>
        </w:tc>
        <w:tc>
          <w:tcPr>
            <w:tcW w:type="dxa" w:w="2280"/>
            <w:shd w:val="clear" w:color="auto" w:fill="FFFFFF"/>
          </w:tcPr>
          <w:p>
            <w:r>
              <w:rPr>
                <w:sz w:val="18"/>
              </w:rPr>
              <w:t>RM 3.80–4.00</w:t>
            </w:r>
          </w:p>
        </w:tc>
        <w:tc>
          <w:tcPr>
            <w:tcW w:type="dxa" w:w="2280"/>
            <w:shd w:val="clear" w:color="auto" w:fill="FFFFFF"/>
          </w:tcPr>
          <w:p>
            <w:r>
              <w:rPr>
                <w:sz w:val="18"/>
              </w:rPr>
              <w:t>Pause high-CPL placements; scale FB News Feed</w:t>
            </w:r>
          </w:p>
        </w:tc>
      </w:tr>
      <w:tr>
        <w:tc>
          <w:tcPr>
            <w:tcW w:type="dxa" w:w="2280"/>
            <w:shd w:val="clear" w:color="auto" w:fill="F2F2F2"/>
          </w:tcPr>
          <w:p>
            <w:r>
              <w:rPr>
                <w:sz w:val="18"/>
              </w:rPr>
              <w:t>Monthly leads</w:t>
            </w:r>
          </w:p>
        </w:tc>
        <w:tc>
          <w:tcPr>
            <w:tcW w:type="dxa" w:w="2280"/>
            <w:shd w:val="clear" w:color="auto" w:fill="F2F2F2"/>
          </w:tcPr>
          <w:p>
            <w:r>
              <w:rPr>
                <w:sz w:val="18"/>
              </w:rPr>
              <w:t>~450</w:t>
            </w:r>
          </w:p>
        </w:tc>
        <w:tc>
          <w:tcPr>
            <w:tcW w:type="dxa" w:w="2280"/>
            <w:shd w:val="clear" w:color="auto" w:fill="F2F2F2"/>
          </w:tcPr>
          <w:p>
            <w:r>
              <w:rPr>
                <w:sz w:val="18"/>
              </w:rPr>
              <w:t>550–600</w:t>
            </w:r>
          </w:p>
        </w:tc>
        <w:tc>
          <w:tcPr>
            <w:tcW w:type="dxa" w:w="2280"/>
            <w:shd w:val="clear" w:color="auto" w:fill="F2F2F2"/>
          </w:tcPr>
          <w:p>
            <w:r>
              <w:rPr>
                <w:sz w:val="18"/>
              </w:rPr>
              <w:t>Budget reallocation to proven placements</w:t>
            </w:r>
          </w:p>
        </w:tc>
      </w:tr>
      <w:tr>
        <w:tc>
          <w:tcPr>
            <w:tcW w:type="dxa" w:w="2280"/>
            <w:shd w:val="clear" w:color="auto" w:fill="FFFFFF"/>
          </w:tcPr>
          <w:p>
            <w:r>
              <w:rPr>
                <w:sz w:val="18"/>
              </w:rPr>
              <w:t>Cost per conversion</w:t>
            </w:r>
          </w:p>
        </w:tc>
        <w:tc>
          <w:tcPr>
            <w:tcW w:type="dxa" w:w="2280"/>
            <w:shd w:val="clear" w:color="auto" w:fill="FFFFFF"/>
          </w:tcPr>
          <w:p>
            <w:r>
              <w:rPr>
                <w:sz w:val="18"/>
              </w:rPr>
              <w:t>RM 4.61</w:t>
            </w:r>
          </w:p>
        </w:tc>
        <w:tc>
          <w:tcPr>
            <w:tcW w:type="dxa" w:w="2280"/>
            <w:shd w:val="clear" w:color="auto" w:fill="FFFFFF"/>
          </w:tcPr>
          <w:p>
            <w:r>
              <w:rPr>
                <w:sz w:val="18"/>
              </w:rPr>
              <w:t>RM 3.90</w:t>
            </w:r>
          </w:p>
        </w:tc>
        <w:tc>
          <w:tcPr>
            <w:tcW w:type="dxa" w:w="2280"/>
            <w:shd w:val="clear" w:color="auto" w:fill="FFFFFF"/>
          </w:tcPr>
          <w:p>
            <w:r>
              <w:rPr>
                <w:sz w:val="18"/>
              </w:rPr>
              <w:t>LAL audience expansion + retargeting scale</w:t>
            </w:r>
          </w:p>
        </w:tc>
      </w:tr>
      <w:tr>
        <w:tc>
          <w:tcPr>
            <w:tcW w:type="dxa" w:w="2280"/>
            <w:shd w:val="clear" w:color="auto" w:fill="F2F2F2"/>
          </w:tcPr>
          <w:p>
            <w:r>
              <w:rPr>
                <w:sz w:val="18"/>
              </w:rPr>
              <w:t>Monthly ad spend</w:t>
            </w:r>
          </w:p>
        </w:tc>
        <w:tc>
          <w:tcPr>
            <w:tcW w:type="dxa" w:w="2280"/>
            <w:shd w:val="clear" w:color="auto" w:fill="F2F2F2"/>
          </w:tcPr>
          <w:p>
            <w:r>
              <w:rPr>
                <w:sz w:val="18"/>
              </w:rPr>
              <w:t>RM 3,599</w:t>
            </w:r>
          </w:p>
        </w:tc>
        <w:tc>
          <w:tcPr>
            <w:tcW w:type="dxa" w:w="2280"/>
            <w:shd w:val="clear" w:color="auto" w:fill="F2F2F2"/>
          </w:tcPr>
          <w:p>
            <w:r>
              <w:rPr>
                <w:sz w:val="18"/>
              </w:rPr>
              <w:t>RM 4,000</w:t>
            </w:r>
          </w:p>
        </w:tc>
        <w:tc>
          <w:tcPr>
            <w:tcW w:type="dxa" w:w="2280"/>
            <w:shd w:val="clear" w:color="auto" w:fill="F2F2F2"/>
          </w:tcPr>
          <w:p>
            <w:r>
              <w:rPr>
                <w:sz w:val="18"/>
              </w:rPr>
              <w:t>Management-approved budget increase</w:t>
            </w:r>
          </w:p>
        </w:tc>
      </w:tr>
    </w:tbl>
    <w:p/>
    <w:p/>
    <w:p>
      <w:pPr>
        <w:pStyle w:val="Heading2"/>
        <w:jc w:val="left"/>
      </w:pPr>
      <w:r>
        <w:rPr>
          <w:color w:val="C0392B"/>
        </w:rPr>
        <w:t>Approval Section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C0392B"/>
          </w:tcPr>
          <w:p>
            <w:pPr>
              <w:jc w:val="center"/>
            </w:pPr>
            <w:r>
              <w:rPr>
                <w:b/>
                <w:color w:val="FFFFFF"/>
                <w:sz w:val="18"/>
              </w:rPr>
              <w:t>Role</w:t>
            </w:r>
          </w:p>
        </w:tc>
        <w:tc>
          <w:tcPr>
            <w:tcW w:type="dxa" w:w="2280"/>
            <w:shd w:val="clear" w:color="auto" w:fill="C0392B"/>
          </w:tcPr>
          <w:p>
            <w:pPr>
              <w:jc w:val="center"/>
            </w:pPr>
            <w:r>
              <w:rPr>
                <w:b/>
                <w:color w:val="FFFFFF"/>
                <w:sz w:val="18"/>
              </w:rPr>
              <w:t>Name</w:t>
            </w:r>
          </w:p>
        </w:tc>
        <w:tc>
          <w:tcPr>
            <w:tcW w:type="dxa" w:w="2280"/>
            <w:shd w:val="clear" w:color="auto" w:fill="C0392B"/>
          </w:tcPr>
          <w:p>
            <w:pPr>
              <w:jc w:val="center"/>
            </w:pPr>
            <w:r>
              <w:rPr>
                <w:b/>
                <w:color w:val="FFFFFF"/>
                <w:sz w:val="18"/>
              </w:rPr>
              <w:t>Signature</w:t>
            </w:r>
          </w:p>
        </w:tc>
        <w:tc>
          <w:tcPr>
            <w:tcW w:type="dxa" w:w="2280"/>
            <w:shd w:val="clear" w:color="auto" w:fill="C0392B"/>
          </w:tcPr>
          <w:p>
            <w:pPr>
              <w:jc w:val="center"/>
            </w:pPr>
            <w:r>
              <w:rPr>
                <w:b/>
                <w:color w:val="FFFFFF"/>
                <w:sz w:val="18"/>
              </w:rPr>
              <w:t>Date</w:t>
            </w:r>
          </w:p>
        </w:tc>
      </w:tr>
      <w:tr>
        <w:tc>
          <w:tcPr>
            <w:tcW w:type="dxa" w:w="2280"/>
            <w:shd w:val="clear" w:color="auto" w:fill="F2F2F2"/>
          </w:tcPr>
          <w:p>
            <w:r>
              <w:rPr>
                <w:sz w:val="18"/>
              </w:rPr>
              <w:t>Prepared by</w:t>
            </w:r>
          </w:p>
        </w:tc>
        <w:tc>
          <w:tcPr>
            <w:tcW w:type="dxa" w:w="2280"/>
            <w:shd w:val="clear" w:color="auto" w:fill="F2F2F2"/>
          </w:tcPr>
          <w:p>
            <w:r>
              <w:rPr>
                <w:sz w:val="18"/>
              </w:rPr>
              <w:t>Zuriel Seong Ming Ee</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r>
        <w:tc>
          <w:tcPr>
            <w:tcW w:type="dxa" w:w="2280"/>
            <w:shd w:val="clear" w:color="auto" w:fill="FFFFFF"/>
          </w:tcPr>
          <w:p>
            <w:r>
              <w:rPr>
                <w:sz w:val="18"/>
              </w:rPr>
              <w:t>Reviewed by</w:t>
            </w:r>
          </w:p>
        </w:tc>
        <w:tc>
          <w:tcPr>
            <w:tcW w:type="dxa" w:w="2280"/>
            <w:shd w:val="clear" w:color="auto" w:fill="FFFFFF"/>
          </w:tcPr>
          <w:p>
            <w:r>
              <w:rPr>
                <w:sz w:val="18"/>
              </w:rPr>
              <w:t>[PPT Supervisor / Assessor — Pending]</w:t>
            </w:r>
          </w:p>
        </w:tc>
        <w:tc>
          <w:tcPr>
            <w:tcW w:type="dxa" w:w="2280"/>
            <w:shd w:val="clear" w:color="auto" w:fill="FFFFFF"/>
          </w:tcPr>
          <w:p>
            <w:r>
              <w:rPr>
                <w:sz w:val="18"/>
              </w:rPr>
              <w:t>___________________</w:t>
            </w:r>
          </w:p>
        </w:tc>
        <w:tc>
          <w:tcPr>
            <w:tcW w:type="dxa" w:w="2280"/>
            <w:shd w:val="clear" w:color="auto" w:fill="FFFFFF"/>
          </w:tcPr>
          <w:p>
            <w:r>
              <w:rPr>
                <w:sz w:val="18"/>
              </w:rPr>
              <w:t>___________</w:t>
            </w:r>
          </w:p>
        </w:tc>
      </w:tr>
      <w:tr>
        <w:tc>
          <w:tcPr>
            <w:tcW w:type="dxa" w:w="2280"/>
            <w:shd w:val="clear" w:color="auto" w:fill="F2F2F2"/>
          </w:tcPr>
          <w:p>
            <w:r>
              <w:rPr>
                <w:sz w:val="18"/>
              </w:rPr>
              <w:t>Approved by</w:t>
            </w:r>
          </w:p>
        </w:tc>
        <w:tc>
          <w:tcPr>
            <w:tcW w:type="dxa" w:w="2280"/>
            <w:shd w:val="clear" w:color="auto" w:fill="F2F2F2"/>
          </w:tcPr>
          <w:p>
            <w:r>
              <w:rPr>
                <w:sz w:val="18"/>
              </w:rPr>
              <w:t>Puan Wan Norizan Binti Wan Badaruzaman</w:t>
              <w:br/>
              <w:t>Koperasi WI</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