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CU4 — E-Commerce Marketing:</w:t>
        <w:br/>
        <w:t>Campaign, Performance &amp; Optimisation Report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SBCO-CU4-ECOM-003</w:t>
      </w:r>
    </w:p>
    <w:p>
      <w:pPr>
        <w:spacing w:after="40"/>
      </w:pPr>
      <w:r>
        <w:rPr>
          <w:b/>
          <w:sz w:val="20"/>
        </w:rPr>
        <w:t xml:space="preserve">Organisation: </w:t>
      </w:r>
      <w:r>
        <w:rPr>
          <w:sz w:val="20"/>
        </w:rPr>
        <w:t>Superbowl Lipis (SBL Co), Kuala Lipis, Pahang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</w:t>
      </w:r>
    </w:p>
    <w:p>
      <w:pPr>
        <w:spacing w:after="40"/>
      </w:pPr>
      <w:r>
        <w:rPr>
          <w:b/>
          <w:sz w:val="20"/>
        </w:rPr>
        <w:t xml:space="preserve">Report Period: </w:t>
      </w:r>
      <w:r>
        <w:rPr>
          <w:sz w:val="20"/>
        </w:rPr>
        <w:t>January – May 2025 (Q1–Q2)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WA4 (Implement Campaigns), WA5 (Monitor &amp; Evaluate), WA6 (Optimise)</w:t>
      </w:r>
    </w:p>
    <w:p>
      <w:pPr>
        <w:pStyle w:val="Heading2"/>
        <w:jc w:val="left"/>
      </w:pPr>
      <w:r>
        <w:rPr>
          <w:color w:val="1F3864"/>
        </w:rPr>
        <w:t>1. Executive Summary</w:t>
      </w:r>
    </w:p>
    <w:p>
      <w:r>
        <w:t>The SBL Store launch campaign (Q1–Q2 2025) exceeded all primary KPIs: 78 orders against a target of 50, GMV of RM 4,512 against a target of RM 3,000, and a ROAS of 3.04x against a minimum threshold of 2.5x. The Hari Raya gifting campaign in April delivered the highest single-month ROAS of 4.18x. Two KPIs fell short: AOV (RM 57.85 vs RM 60 target) and email subscribers (184 vs 200 target), both with identified fixes for H2 2025.</w:t>
      </w:r>
    </w:p>
    <w:p>
      <w:pPr>
        <w:pStyle w:val="Heading2"/>
        <w:jc w:val="left"/>
      </w:pPr>
      <w:r>
        <w:rPr>
          <w:color w:val="1F3864"/>
        </w:rPr>
        <w:t>2. Monthly Performance: GMV &amp; ROAS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Monthly GMV (bars) and ROAS (line). Raya spike visible in April.</w:t>
      </w:r>
    </w:p>
    <w:p/>
    <w:p>
      <w:pPr>
        <w:pStyle w:val="Heading2"/>
        <w:jc w:val="left"/>
      </w:pPr>
      <w:r>
        <w:rPr>
          <w:color w:val="1F3864"/>
        </w:rPr>
        <w:t>3. Product Sales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246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Units Sold and Revenue by Product SKU</w:t>
      </w:r>
    </w:p>
    <w:p/>
    <w:p>
      <w:pPr>
        <w:pStyle w:val="Heading2"/>
        <w:jc w:val="left"/>
      </w:pPr>
      <w:r>
        <w:rPr>
          <w:color w:val="1F3864"/>
        </w:rPr>
        <w:t>4. Ad Set ROAS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94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ROAS by Ad Set. Retargeting delivers highest return at 5.4x.</w:t>
      </w:r>
    </w:p>
    <w:p/>
    <w:p>
      <w:pPr>
        <w:pStyle w:val="Heading2"/>
        <w:jc w:val="left"/>
      </w:pPr>
      <w:r>
        <w:rPr>
          <w:color w:val="1F3864"/>
        </w:rPr>
        <w:t>5. Conversion Funnel Analysis</w:t>
      </w:r>
    </w:p>
    <w:p>
      <w:r>
        <w:t>The funnel below visualises the drop-off at each stage of the customer journey from ad impression to completed order. The largest relative drop-off is at checkout completion (39.4%), indicating the need for a simplified checkout experience.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8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Conversion funnel from impressions to orders</w:t>
      </w:r>
    </w:p>
    <w:p/>
    <w:p>
      <w:pPr>
        <w:pStyle w:val="Heading2"/>
        <w:jc w:val="left"/>
      </w:pPr>
      <w:r>
        <w:rPr>
          <w:color w:val="1F3864"/>
        </w:rPr>
        <w:t>6. Key Optimisation Actions &amp; Outcomes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Taken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Low CTR Week 1 (2.1%)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Switched from single image to carousel format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CTR improved to 5.8%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High CPO Male 35–44 (RM 35.60)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Excluded segment from cold audiences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Blended CPO dropped 18%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Low checkout completion (36.5%)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Added WhatsApp order button in cart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Improved to 48% in May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Raya gifting underexploited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Increased April budget RM 300→RM 400; Malay-language creative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ROAS 4.18x (best month)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Tote bag underperforming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"Market bag" lifestyle content + sticker bundle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Units doubled in Apr–May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[PPT Supervisor / Assessor — Pending]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Puan Wan Norizan Binti Wan Badaruzaman</w:t>
              <w:br/>
              <w:t>Koperasi WI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