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CU5 — Mobile Marketing:</w:t>
        <w:br/>
        <w:t>WhatsApp Campaign Performance Report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SBCO-CU5-MOB-002</w:t>
      </w:r>
    </w:p>
    <w:p>
      <w:pPr>
        <w:spacing w:after="40"/>
      </w:pPr>
      <w:r>
        <w:rPr>
          <w:b/>
          <w:sz w:val="20"/>
        </w:rPr>
        <w:t xml:space="preserve">Organisation: </w:t>
      </w:r>
      <w:r>
        <w:rPr>
          <w:sz w:val="20"/>
        </w:rPr>
        <w:t>Superbowl Lipis (SBL Co), Kuala Lipis, Pahang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</w:t>
      </w:r>
    </w:p>
    <w:p>
      <w:pPr>
        <w:spacing w:after="40"/>
      </w:pPr>
      <w:r>
        <w:rPr>
          <w:b/>
          <w:sz w:val="20"/>
        </w:rPr>
        <w:t xml:space="preserve">Report Period: </w:t>
      </w:r>
      <w:r>
        <w:rPr>
          <w:sz w:val="20"/>
        </w:rPr>
        <w:t>Q1–Q2 2025 (January – June 2025)</w:t>
      </w:r>
    </w:p>
    <w:p>
      <w:pPr>
        <w:spacing w:after="40"/>
      </w:pPr>
      <w:r>
        <w:rPr>
          <w:b/>
          <w:sz w:val="20"/>
        </w:rPr>
        <w:t xml:space="preserve">Platform: </w:t>
      </w:r>
      <w:r>
        <w:rPr>
          <w:sz w:val="20"/>
        </w:rPr>
        <w:t>WhatsApp Business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WA5 (Monitor &amp; Evaluate), WA6 (Optimise)</w:t>
      </w:r>
    </w:p>
    <w:p>
      <w:pPr>
        <w:pStyle w:val="Heading2"/>
        <w:jc w:val="left"/>
      </w:pPr>
      <w:r>
        <w:rPr>
          <w:color w:val="1F3864"/>
        </w:rPr>
        <w:t>1. Strategic Purpose</w:t>
      </w:r>
    </w:p>
    <w:p>
      <w:r>
        <w:t>This report evaluates the performance of Superbowl Lipis's WhatsApp Business broadcast campaigns across all five audience segments (Q1–Q2 2025). Two of three primary KPIs were met or exceeded; the response time KPI requires immediate operational improvement.</w:t>
      </w:r>
    </w:p>
    <w:p>
      <w:pPr>
        <w:pStyle w:val="Heading2"/>
        <w:jc w:val="left"/>
      </w:pPr>
      <w:r>
        <w:rPr>
          <w:color w:val="1F3864"/>
        </w:rPr>
        <w:t>2. KPI Performance: Actual vs Target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WhatsApp KPI Performance vs Targets</w:t>
      </w:r>
    </w:p>
    <w:p/>
    <w:p>
      <w:pPr>
        <w:pStyle w:val="Heading2"/>
        <w:jc w:val="left"/>
      </w:pPr>
      <w:r>
        <w:rPr>
          <w:color w:val="1F3864"/>
        </w:rPr>
        <w:t>3. Monthly Open Rate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01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Monthly open rate trend — consistently above 70% target from Feb onwards</w:t>
      </w:r>
    </w:p>
    <w:p/>
    <w:p>
      <w:pPr>
        <w:pStyle w:val="Heading2"/>
        <w:jc w:val="left"/>
      </w:pPr>
      <w:r>
        <w:rPr>
          <w:color w:val="1F3864"/>
        </w:rPr>
        <w:t>4. Performance by Audience Segment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4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Open rate and conversion rate by segment. #VIP and #Wholesale are top performers.</w:t>
      </w:r>
    </w:p>
    <w:p/>
    <w:p>
      <w:pPr>
        <w:pStyle w:val="Heading2"/>
        <w:jc w:val="left"/>
      </w:pPr>
      <w:r>
        <w:rPr>
          <w:color w:val="1F3864"/>
        </w:rPr>
        <w:t>5. Optimisation Actions &amp; H2 2025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H1 Actual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H2 Target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Open Rate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84%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Improve message preview line; send at 8–9pm (peak engagement window)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Conversion Rate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Add product image in broadcast; include direct "Order Now" payment link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Reply Rate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62%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Automated quick-reply menu; reduce response friction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Avg Response Time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28 min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&lt;15 min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Iqa on duty 8am–10pm; automated replies for FAQ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Segment size growth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320 contacts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500 contacts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Newsletter cross-promotion; in-store sign-up QR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[PPT Supervisor / Assessor — Pending]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Puan Wan Norizan Binti Wan Badaruzaman</w:t>
              <w:br/>
              <w:t>Koperasi WI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