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TVET LIPIS</w:t>
      </w:r>
    </w:p>
    <w:p>
      <w:pPr>
        <w:spacing w:after="160" w:before="0" w:line="360" w:lineRule="auto"/>
        <w:jc w:val="center"/>
      </w:pPr>
      <w:r>
        <w:rPr>
          <w:rFonts w:ascii="Times New Roman" w:cs="Times New Roman" w:eastAsia="Times New Roman" w:hAnsi="Times New Roman"/>
          <w:sz w:val="24"/>
          <w:szCs w:val="24"/>
        </w:rPr>
        <w:t xml:space="preserve">(Akademi Pembangunan Kemahiran USIM)</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TVET Lipis (Akademi Pembangunan Kemahiran USIM)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di TVET Lipis (Akademi Pembangunan Kemahiran USIM), sebuah institusi pendidikan kemahiran di bawah JPK (No. Tauliah K16005),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(Meta Business Suite, TikTok Analytics, Google Search Console), Sistem CRM TVET Lipis untuk pengesanan data prospek dalam talian, dan senarai semak kualiti kandungan. Pendekatan kajian tindakan berkitar PDCA (Plan-Do-Check-Act) digunakan sebagai kerangka pelaksanaan. Data dikumpulkan melalui kaedah kuantitatif (metrik platform, data CRM) dan kualitatif (analisis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3,470 prospek dalam talian (leads) sepanjang enam bulan — 2,336 (67.3%) melalui Meta Ads dan 1,134 (32.7%) melalui TikTok Ads. Daripada jumlah ini, 16 prospek (0.46%) telah bertukar menjadi pelajar berdaftar (Customer dalam CRM). Kursus PAKK mencatatkan permintaan tertinggi dengan 1,903 prospek (54.8%). Kata kunci "tvet lipis" mencatatkan 120 klik daripada 603 tayangan melalui Google Search Console, mencerminkan kesan spillover aktiviti media sosial terhadap carian organik. TikTok Ads mengatasi Meta sebagai sumber prospek utama menjelang Mei–Jun 2026. Cadangan penambahbaikan dikemukakan untuk meningkatkan kadar penukaran prospek kepada pelajar berdaftar melalui susulan sistematik menggunakan CRM.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CRM,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RAJAH ................................................................................... vi</w:t>
      </w:r>
    </w:p>
    <w:p>
      <w:pPr>
        <w:spacing w:after="240" w:before="0" w:line="360" w:lineRule="auto"/>
      </w:pPr>
      <w:r>
        <w:rPr>
          <w:rFonts w:ascii="Times New Roman" w:cs="Times New Roman" w:eastAsia="Times New Roman" w:hAnsi="Times New Roman"/>
          <w:sz w:val="24"/>
          <w:szCs w:val="24"/>
        </w:rPr>
        <w:t xml:space="preserve">SENARAI LAMPIRAN ................................................................................ vii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TVET Lipis, dikenali rasminya sebagai Akademi Pembangunan Kemahiran USIM, merupakan institusi pendidikan kemahiran berdaftar di bawah Jabatan Pembangunan Kemahiran (JPK) nombor tauliah K16005, terletak di Jalan Hospital, 27200 Kuala Lipis, Pahang. Institusi ini menawarkan program Diploma Kemahiran Malaysia (DKM) dalam bidang Pendidikan Awal Kanak-Kanak, Multimedia, Elektrik, Pra-Sekolah, Kulinari dan Keselamatan Siber, semua dibiayai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Persaingan dengan kolej dan universiti di Kuantan, Kuala Lumpur dan Selangor menjadikan kehadiran digital yang kuat keperluan strategik.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Kajian oleh Kementerian Pendidikan Malaysia (2023) mendapati 72% bakal pelajar berumur 17–25 tahun bermula dengan pencarian maklumat di media sosial sebelum membuat keputusan pengajian. Di Malaysia, platform TikTok mencatatkan kadar penglibatan purata 5.3% dalam kalangan pengguna berumur 15–24 tahun, jauh mengatasi Instagram (1.9%) dan Facebook (0.8%) (ByteDance, 2024). Bagi kawasan luar bandar seperti Kuala Lipis, 68% penduduk berumur 15–40 tahun mengakses media sosial sekurang-kurangnya sekali sehari (MCMC, 2023).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dan melaksanakan strategi media sosial TVET Lipis merangkumi tempoh Januari hingga Jun 2026,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Meta Ads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kadar penglibatan, trafik organik dan bilangan prospek dalam talian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meningkatkan pengambilan pelajar baharu dan mengemukakan cadangan penambahbaikan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Hanya meliputi TikTok, Instagram dan Facebook.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Dapatan mungkin berbeza pada tempoh lain bergantung kepada musim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Skop Geografi: </w:t>
      </w:r>
      <w:r>
        <w:rPr>
          <w:rFonts w:ascii="Times New Roman" w:cs="Times New Roman" w:eastAsia="Times New Roman" w:hAnsi="Times New Roman"/>
          <w:sz w:val="24"/>
          <w:szCs w:val="24"/>
        </w:rPr>
        <w:t xml:space="preserve">Kempen difokuskan kepada audiens di Pahang dan negeri berjiran (Kelantan, Terengganu, Perak, Selangor).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Pengesanan Prospek: </w:t>
      </w:r>
      <w:r>
        <w:rPr>
          <w:rFonts w:ascii="Times New Roman" w:cs="Times New Roman" w:eastAsia="Times New Roman" w:hAnsi="Times New Roman"/>
          <w:sz w:val="24"/>
          <w:szCs w:val="24"/>
        </w:rPr>
        <w:t xml:space="preserve">Prospek yang mengisi borang dalam talian melalui iklan media sosial direkodkan dalam CRM. Walau bagaimanapun, prospek yang menghubungi terus tanpa melalui borang mungkin tidak dapat dikategorikan sumbernya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laman web ke pertanyaan tidak sepenuhnya automatik.</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 Facebook &amp; Instagram berbayar, borang prospek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Sebutan, ulasan, perkongsian sukarela oleh pelajar</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Jangkauan, tayangan, pengikut baru</w:t>
            </w:r>
          </w:p>
        </w:tc>
        <w:tc>
          <w:tcPr>
            <w:tcW w:type="dxa" w:w="2760"/>
          </w:tcPr>
          <w:p>
            <w:pPr>
              <w:spacing w:line="276"/>
            </w:pPr>
            <w:r>
              <w:rPr>
                <w:rFonts w:ascii="Times New Roman" w:cs="Times New Roman" w:eastAsia="Times New Roman" w:hAnsi="Times New Roman"/>
                <w:sz w:val="20"/>
                <w:szCs w:val="20"/>
              </w:rPr>
              <w:t xml:space="preserve">TikTok/Instagram/Facebook Analytics</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Kadar penglibatan, klik pautan</w:t>
            </w:r>
          </w:p>
        </w:tc>
        <w:tc>
          <w:tcPr>
            <w:tcW w:type="dxa" w:w="2760"/>
          </w:tcPr>
          <w:p>
            <w:pPr>
              <w:spacing w:line="276"/>
            </w:pPr>
            <w:r>
              <w:rPr>
                <w:rFonts w:ascii="Times New Roman" w:cs="Times New Roman" w:eastAsia="Times New Roman" w:hAnsi="Times New Roman"/>
                <w:sz w:val="20"/>
                <w:szCs w:val="20"/>
              </w:rPr>
              <w:t xml:space="preserve">Meta Business Suite</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CPL</w:t>
            </w:r>
          </w:p>
        </w:tc>
        <w:tc>
          <w:tcPr>
            <w:tcW w:type="dxa" w:w="2760"/>
          </w:tcPr>
          <w:p>
            <w:pPr>
              <w:spacing w:line="276"/>
            </w:pPr>
            <w:r>
              <w:rPr>
                <w:rFonts w:ascii="Times New Roman" w:cs="Times New Roman" w:eastAsia="Times New Roman" w:hAnsi="Times New Roman"/>
                <w:sz w:val="20"/>
                <w:szCs w:val="20"/>
              </w:rPr>
              <w:t xml:space="preserve">Meta Ads Manager +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jangka panjang</w:t>
            </w:r>
          </w:p>
        </w:tc>
        <w:tc>
          <w:tcPr>
            <w:tcW w:type="dxa" w:w="2800"/>
          </w:tcPr>
          <w:p>
            <w:pPr>
              <w:spacing w:line="276"/>
            </w:pPr>
            <w:r>
              <w:rPr>
                <w:rFonts w:ascii="Times New Roman" w:cs="Times New Roman" w:eastAsia="Times New Roman" w:hAnsi="Times New Roman"/>
                <w:sz w:val="20"/>
                <w:szCs w:val="20"/>
              </w:rPr>
              <w:t xml:space="preserve">Pengekalan pengikut, ulasan</w:t>
            </w:r>
          </w:p>
        </w:tc>
        <w:tc>
          <w:tcPr>
            <w:tcW w:type="dxa" w:w="2760"/>
          </w:tcPr>
          <w:p>
            <w:pPr>
              <w:spacing w:line="276"/>
            </w:pPr>
            <w:r>
              <w:rPr>
                <w:rFonts w:ascii="Times New Roman" w:cs="Times New Roman" w:eastAsia="Times New Roman" w:hAnsi="Times New Roman"/>
                <w:sz w:val="20"/>
                <w:szCs w:val="20"/>
              </w:rPr>
              <w:t xml:space="preserve">Analytics platform</w:t>
            </w:r>
          </w:p>
        </w:tc>
      </w:tr>
    </w:tbl>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media sosial, penetapan objektif SMART, pembinaan persona audiens (Persona A: lepasan SPM 17-19 tahun, Persona B: ibu bapa 35-45 tahun), Kalendar Kandungan 6 bulan, belanjawan Meta Ads</w:t>
            </w:r>
          </w:p>
        </w:tc>
        <w:tc>
          <w:tcPr>
            <w:tcW w:type="dxa" w:w="2200"/>
          </w:tcPr>
          <w:p>
            <w:pPr>
              <w:spacing w:line="276"/>
            </w:pPr>
            <w:r>
              <w:rPr>
                <w:rFonts w:ascii="Times New Roman" w:cs="Times New Roman" w:eastAsia="Times New Roman" w:hAnsi="Times New Roman"/>
                <w:sz w:val="20"/>
                <w:szCs w:val="20"/>
              </w:rPr>
              <w:t xml:space="preserve">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pelancaran kempen Meta Ads dengan borang prospek dalam talian, pengurusan komuniti (balas komen/DM dalam 24 jam)</w:t>
            </w:r>
          </w:p>
        </w:tc>
        <w:tc>
          <w:tcPr>
            <w:tcW w:type="dxa" w:w="2200"/>
          </w:tcPr>
          <w:p>
            <w:pPr>
              <w:spacing w:line="276"/>
            </w:pPr>
            <w:r>
              <w:rPr>
                <w:rFonts w:ascii="Times New Roman" w:cs="Times New Roman" w:eastAsia="Times New Roman" w:hAnsi="Times New Roman"/>
                <w:sz w:val="20"/>
                <w:szCs w:val="20"/>
              </w:rPr>
              <w:t xml:space="preserve">Februari – April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Analisis data mingguan (metrik platform + data CRM), laporan bulanan, perbandingan dengan KPI</w:t>
            </w:r>
          </w:p>
        </w:tc>
        <w:tc>
          <w:tcPr>
            <w:tcW w:type="dxa" w:w="2200"/>
          </w:tcPr>
          <w:p>
            <w:pPr>
              <w:spacing w:line="276"/>
            </w:pPr>
            <w:r>
              <w:rPr>
                <w:rFonts w:ascii="Times New Roman" w:cs="Times New Roman" w:eastAsia="Times New Roman" w:hAnsi="Times New Roman"/>
                <w:sz w:val="20"/>
                <w:szCs w:val="20"/>
              </w:rPr>
              <w:t xml:space="preserve">Berterusan Feb–Jun 2026</w:t>
            </w:r>
          </w:p>
        </w:tc>
      </w:tr>
      <w:tr>
        <w:tc>
          <w:tcPr>
            <w:tcW w:type="dxa" w:w="1600"/>
          </w:tcPr>
          <w:p>
            <w:pPr>
              <w:spacing w:line="276"/>
            </w:pPr>
            <w:r>
              <w:rPr>
                <w:rFonts w:ascii="Times New Roman" w:cs="Times New Roman" w:eastAsia="Times New Roman" w:hAnsi="Times New Roman"/>
                <w:sz w:val="20"/>
                <w:szCs w:val="20"/>
              </w:rPr>
              <w:t xml:space="preserve">Act (Bertindak)</w:t>
            </w:r>
          </w:p>
        </w:tc>
        <w:tc>
          <w:tcPr>
            <w:tcW w:type="dxa" w:w="5560"/>
          </w:tcPr>
          <w:p>
            <w:pPr>
              <w:spacing w:line="276"/>
            </w:pPr>
            <w:r>
              <w:rPr>
                <w:rFonts w:ascii="Times New Roman" w:cs="Times New Roman" w:eastAsia="Times New Roman" w:hAnsi="Times New Roman"/>
                <w:sz w:val="20"/>
                <w:szCs w:val="20"/>
              </w:rPr>
              <w:t xml:space="preserve">Pengoptimuman kreatif iklan berprestasi rendah, penyesuaian belanjawan, penambahbaikan strategi kandungan, laporan akhir</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w:t>
            </w:r>
          </w:p>
        </w:tc>
        <w:tc>
          <w:tcPr>
            <w:tcW w:type="dxa" w:w="2800"/>
          </w:tcPr>
          <w:p>
            <w:pPr>
              <w:spacing w:line="276"/>
            </w:pPr>
            <w:r>
              <w:rPr>
                <w:rFonts w:ascii="Times New Roman" w:cs="Times New Roman" w:eastAsia="Times New Roman" w:hAnsi="Times New Roman"/>
                <w:sz w:val="20"/>
                <w:szCs w:val="20"/>
              </w:rPr>
              <w:t xml:space="preserve">TikTok Analytics (Creator/Business)</w:t>
            </w:r>
          </w:p>
        </w:tc>
        <w:tc>
          <w:tcPr>
            <w:tcW w:type="dxa" w:w="4960"/>
          </w:tcPr>
          <w:p>
            <w:pPr>
              <w:spacing w:line="276"/>
            </w:pPr>
            <w:r>
              <w:rPr>
                <w:rFonts w:ascii="Times New Roman" w:cs="Times New Roman" w:eastAsia="Times New Roman" w:hAnsi="Times New Roman"/>
                <w:sz w:val="20"/>
                <w:szCs w:val="20"/>
              </w:rPr>
              <w:t xml:space="preserve">Tontonan video, pengikut baru, kadar penglibatan, demografi audiens</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 baru</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 baru</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dikonfigurasikan dengan borang Lead Generation (borang prospek dalam talian) yang terus menjana data prospek apabila bakal pelajar mengisi borang daripada iklan. Data prospek ini — nama, nombor telefon, kursus diminati dan sumber iklan — direkodkan secara terus ke dalam Sistem Pengurusan Hubungan Pelanggan (CRM) TVET Lipis. Ini membolehkan pengesanan sumber setiap prospek (platform iklan, set iklan, kreatif iklan) secara tepat dan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3 platform</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 Mingguan</w:t>
            </w:r>
          </w:p>
        </w:tc>
        <w:tc>
          <w:tcPr>
            <w:tcW w:type="dxa" w:w="4000"/>
          </w:tcPr>
          <w:p>
            <w:pPr>
              <w:spacing w:line="276"/>
            </w:pPr>
            <w:r>
              <w:rPr>
                <w:rFonts w:ascii="Times New Roman" w:cs="Times New Roman" w:eastAsia="Times New Roman" w:hAnsi="Times New Roman"/>
                <w:sz w:val="20"/>
                <w:szCs w:val="20"/>
              </w:rPr>
              <w:t xml:space="preserve">Rekod metrik utama setiap minggu untuk semua platform</w:t>
            </w:r>
          </w:p>
        </w:tc>
        <w:tc>
          <w:tcPr>
            <w:tcW w:type="dxa" w:w="2760"/>
          </w:tcPr>
          <w:p>
            <w:pPr>
              <w:spacing w:line="276"/>
            </w:pPr>
            <w:r>
              <w:rPr>
                <w:rFonts w:ascii="Times New Roman" w:cs="Times New Roman" w:eastAsia="Times New Roman" w:hAnsi="Times New Roman"/>
                <w:sz w:val="20"/>
                <w:szCs w:val="20"/>
              </w:rPr>
              <w:t xml:space="preserve">Mingguan (Isnin)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data prospek dalam talian mengikut sumber, kursus dan status</w:t>
            </w:r>
          </w:p>
        </w:tc>
        <w:tc>
          <w:tcPr>
            <w:tcW w:type="dxa" w:w="2760"/>
          </w:tcPr>
          <w:p>
            <w:pPr>
              <w:spacing w:line="276"/>
            </w:pPr>
            <w:r>
              <w:rPr>
                <w:rFonts w:ascii="Times New Roman" w:cs="Times New Roman" w:eastAsia="Times New Roman" w:hAnsi="Times New Roman"/>
                <w:sz w:val="20"/>
                <w:szCs w:val="20"/>
              </w:rPr>
              <w:t xml:space="preserve">Berterusan (real-time)</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Meta Ads</w:t>
            </w:r>
          </w:p>
        </w:tc>
        <w:tc>
          <w:tcPr>
            <w:tcW w:type="dxa" w:w="4000"/>
          </w:tcPr>
          <w:p>
            <w:pPr>
              <w:spacing w:line="276"/>
            </w:pPr>
            <w:r>
              <w:rPr>
                <w:rFonts w:ascii="Times New Roman" w:cs="Times New Roman" w:eastAsia="Times New Roman" w:hAnsi="Times New Roman"/>
                <w:sz w:val="20"/>
                <w:szCs w:val="20"/>
              </w:rPr>
              <w:t xml:space="preserve">Ringkasan prestasi kempen berbayar bulanan (spend, CPL, prospek)</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Persona A (lepasan SPM 17–19 tahun, pengguna TikTok aktif) dan Persona B (ibu bapa/penjaga 35–45 tahun, pengguna Facebook aktif).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yang mengisi borang ini mengalir terus ke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(Februari –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Stories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Pengurusan Kempen Meta Ads — Kempen Lead Generation dilancarkan melalui Meta Ads Manager dengan parameter penyasaran: umur 17–45 tahun, negeri Pahang, Kelantan, Terengganu, Perak dan Selangor, minat dalam pendidikan, vokasional dan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Pengurusan Komuniti — Semua komen, DM dan pertanyaan di platform media sosial dijawab dalam masa 24 jam.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 semua platform dan CRM dianalisis dan dibandingkan dengan KPI yang ditetapkan.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Pengoptimuman Iklan — Kreatif berprestasi rendah (CTR &lt; purata) diganti. Belanjawan diasingkan kepada set iklan dengan CPL terendah.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Penyediaan Laporan Akhir — Laporan komprehensif merangkumi dapatan, analisis, dan cadangan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750"/>
        <w:gridCol w:w="750"/>
        <w:gridCol w:w="750"/>
        <w:gridCol w:w="750"/>
        <w:gridCol w:w="750"/>
        <w:gridCol w:w="750"/>
        <w:gridCol w:w="23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75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JUMLAH / NILAI</w:t>
            </w:r>
          </w:p>
        </w:tc>
      </w:tr>
      <w:tr>
        <w:tc>
          <w:tcPr>
            <w:tcW w:type="dxa" w:w="2500"/>
          </w:tcPr>
          <w:p>
            <w:pPr>
              <w:spacing w:line="276"/>
            </w:pPr>
            <w:r>
              <w:rPr>
                <w:rFonts w:ascii="Times New Roman" w:cs="Times New Roman" w:eastAsia="Times New Roman" w:hAnsi="Times New Roman"/>
                <w:sz w:val="20"/>
                <w:szCs w:val="20"/>
              </w:rPr>
              <w:t xml:space="preserve">Tontonan Video (Organik + Berbayar)</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2360"/>
          </w:tcPr>
          <w:p>
            <w:pPr>
              <w:spacing w:line="276"/>
            </w:pPr>
            <w:r>
              <w:rPr>
                <w:rFonts w:ascii="Times New Roman" w:cs="Times New Roman" w:eastAsia="Times New Roman" w:hAnsi="Times New Roman"/>
                <w:sz w:val="20"/>
                <w:szCs w:val="20"/>
              </w:rPr>
              <w:t xml:space="preserve">2,927,157</w:t>
            </w:r>
          </w:p>
        </w:tc>
      </w:tr>
      <w:tr>
        <w:tc>
          <w:tcPr>
            <w:tcW w:type="dxa" w:w="2500"/>
          </w:tcPr>
          <w:p>
            <w:pPr>
              <w:spacing w:line="276"/>
            </w:pPr>
            <w:r>
              <w:rPr>
                <w:rFonts w:ascii="Times New Roman" w:cs="Times New Roman" w:eastAsia="Times New Roman" w:hAnsi="Times New Roman"/>
                <w:sz w:val="20"/>
                <w:szCs w:val="20"/>
              </w:rPr>
              <w:t xml:space="preserve">  — Organik (split tracking dari Mac 2026)</w:t>
            </w:r>
          </w:p>
        </w:tc>
        <w:tc>
          <w:tcPr>
            <w:tcW w:type="dxa" w:w="750"/>
          </w:tcPr>
          <w:p>
            <w:pPr>
              <w:spacing w:line="276"/>
            </w:pPr>
            <w:r>
              <w:rPr>
                <w:rFonts w:ascii="Times New Roman" w:cs="Times New Roman" w:eastAsia="Times New Roman" w:hAnsi="Times New Roman"/>
                <w:sz w:val="20"/>
                <w:szCs w:val="20"/>
              </w:rPr>
              <w:t xml:space="preserve">-</w:t>
            </w:r>
          </w:p>
        </w:tc>
        <w:tc>
          <w:tcPr>
            <w:tcW w:type="dxa" w:w="750"/>
          </w:tcPr>
          <w:p>
            <w:pPr>
              <w:spacing w:line="276"/>
            </w:pPr>
            <w:r>
              <w:rPr>
                <w:rFonts w:ascii="Times New Roman" w:cs="Times New Roman" w:eastAsia="Times New Roman" w:hAnsi="Times New Roman"/>
                <w:sz w:val="20"/>
                <w:szCs w:val="20"/>
              </w:rPr>
              <w:t xml:space="preserve">-</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2360"/>
          </w:tcPr>
          <w:p>
            <w:pPr>
              <w:spacing w:line="276"/>
            </w:pPr>
            <w:r>
              <w:rPr>
                <w:rFonts w:ascii="Times New Roman" w:cs="Times New Roman" w:eastAsia="Times New Roman" w:hAnsi="Times New Roman"/>
                <w:sz w:val="20"/>
                <w:szCs w:val="20"/>
              </w:rPr>
              <w:t xml:space="preserve">&gt;=516,567</w:t>
            </w:r>
          </w:p>
        </w:tc>
      </w:tr>
      <w:tr>
        <w:tc>
          <w:tcPr>
            <w:tcW w:type="dxa" w:w="2500"/>
          </w:tcPr>
          <w:p>
            <w:pPr>
              <w:spacing w:line="276"/>
            </w:pPr>
            <w:r>
              <w:rPr>
                <w:rFonts w:ascii="Times New Roman" w:cs="Times New Roman" w:eastAsia="Times New Roman" w:hAnsi="Times New Roman"/>
                <w:sz w:val="20"/>
                <w:szCs w:val="20"/>
              </w:rPr>
              <w:t xml:space="preserve">  — Berbayar / TikTok Ads (dari Mac 2026)</w:t>
            </w:r>
          </w:p>
        </w:tc>
        <w:tc>
          <w:tcPr>
            <w:tcW w:type="dxa" w:w="750"/>
          </w:tcPr>
          <w:p>
            <w:pPr>
              <w:spacing w:line="276"/>
            </w:pPr>
            <w:r>
              <w:rPr>
                <w:rFonts w:ascii="Times New Roman" w:cs="Times New Roman" w:eastAsia="Times New Roman" w:hAnsi="Times New Roman"/>
                <w:sz w:val="20"/>
                <w:szCs w:val="20"/>
              </w:rPr>
              <w:t xml:space="preserve">-</w:t>
            </w:r>
          </w:p>
        </w:tc>
        <w:tc>
          <w:tcPr>
            <w:tcW w:type="dxa" w:w="750"/>
          </w:tcPr>
          <w:p>
            <w:pPr>
              <w:spacing w:line="276"/>
            </w:pPr>
            <w:r>
              <w:rPr>
                <w:rFonts w:ascii="Times New Roman" w:cs="Times New Roman" w:eastAsia="Times New Roman" w:hAnsi="Times New Roman"/>
                <w:sz w:val="20"/>
                <w:szCs w:val="20"/>
              </w:rPr>
              <w:t xml:space="preserve">-</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750"/>
          </w:tcPr>
          <w:p>
            <w:pPr>
              <w:spacing w:line="276"/>
            </w:pPr>
            <w:r>
              <w:rPr>
                <w:rFonts w:ascii="Times New Roman" w:cs="Times New Roman" w:eastAsia="Times New Roman" w:hAnsi="Times New Roman"/>
                <w:sz w:val="20"/>
                <w:szCs w:val="20"/>
              </w:rPr>
              <w:t xml:space="preserve">ada</w:t>
            </w:r>
          </w:p>
        </w:tc>
        <w:tc>
          <w:tcPr>
            <w:tcW w:type="dxa" w:w="2360"/>
          </w:tcPr>
          <w:p>
            <w:pPr>
              <w:spacing w:line="276"/>
            </w:pPr>
            <w:r>
              <w:rPr>
                <w:rFonts w:ascii="Times New Roman" w:cs="Times New Roman" w:eastAsia="Times New Roman" w:hAnsi="Times New Roman"/>
                <w:sz w:val="20"/>
                <w:szCs w:val="20"/>
              </w:rPr>
              <w:t xml:space="preserve">1,324,018</w:t>
            </w:r>
          </w:p>
        </w:tc>
      </w:tr>
      <w:tr>
        <w:tc>
          <w:tcPr>
            <w:tcW w:type="dxa" w:w="2500"/>
          </w:tcPr>
          <w:p>
            <w:pPr>
              <w:spacing w:line="276"/>
            </w:pPr>
            <w:r>
              <w:rPr>
                <w:rFonts w:ascii="Times New Roman" w:cs="Times New Roman" w:eastAsia="Times New Roman" w:hAnsi="Times New Roman"/>
                <w:sz w:val="20"/>
                <w:szCs w:val="20"/>
              </w:rPr>
              <w:t xml:space="preserve">Jangkauan Audiens (Reached Audience)</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2360"/>
          </w:tcPr>
          <w:p>
            <w:pPr>
              <w:spacing w:line="276"/>
            </w:pPr>
            <w:r>
              <w:rPr>
                <w:rFonts w:ascii="Times New Roman" w:cs="Times New Roman" w:eastAsia="Times New Roman" w:hAnsi="Times New Roman"/>
                <w:sz w:val="20"/>
                <w:szCs w:val="20"/>
              </w:rPr>
              <w:t xml:space="preserve">2,622,406</w:t>
            </w:r>
          </w:p>
        </w:tc>
      </w:tr>
      <w:tr>
        <w:tc>
          <w:tcPr>
            <w:tcW w:type="dxa" w:w="2500"/>
          </w:tcPr>
          <w:p>
            <w:pPr>
              <w:spacing w:line="276"/>
            </w:pPr>
            <w:r>
              <w:rPr>
                <w:rFonts w:ascii="Times New Roman" w:cs="Times New Roman" w:eastAsia="Times New Roman" w:hAnsi="Times New Roman"/>
                <w:sz w:val="20"/>
                <w:szCs w:val="20"/>
              </w:rPr>
              <w:t xml:space="preserve">Paparan Profil (Profile Views)</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2360"/>
          </w:tcPr>
          <w:p>
            <w:pPr>
              <w:spacing w:line="276"/>
            </w:pPr>
            <w:r>
              <w:rPr>
                <w:rFonts w:ascii="Times New Roman" w:cs="Times New Roman" w:eastAsia="Times New Roman" w:hAnsi="Times New Roman"/>
                <w:sz w:val="20"/>
                <w:szCs w:val="20"/>
              </w:rPr>
              <w:t xml:space="preserve">15,251</w:t>
            </w:r>
          </w:p>
        </w:tc>
      </w:tr>
      <w:tr>
        <w:tc>
          <w:tcPr>
            <w:tcW w:type="dxa" w:w="2500"/>
          </w:tcPr>
          <w:p>
            <w:pPr>
              <w:spacing w:line="276"/>
            </w:pPr>
            <w:r>
              <w:rPr>
                <w:rFonts w:ascii="Times New Roman" w:cs="Times New Roman" w:eastAsia="Times New Roman" w:hAnsi="Times New Roman"/>
                <w:sz w:val="20"/>
                <w:szCs w:val="20"/>
              </w:rPr>
              <w:t xml:space="preserve">Pengikut (Akhir Jun 2026)</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~13,800</w:t>
            </w:r>
          </w:p>
        </w:tc>
        <w:tc>
          <w:tcPr>
            <w:tcW w:type="dxa" w:w="2360"/>
          </w:tcPr>
          <w:p>
            <w:pPr>
              <w:spacing w:line="276"/>
            </w:pPr>
            <w:r>
              <w:rPr>
                <w:rFonts w:ascii="Times New Roman" w:cs="Times New Roman" w:eastAsia="Times New Roman" w:hAnsi="Times New Roman"/>
                <w:sz w:val="20"/>
                <w:szCs w:val="20"/>
              </w:rPr>
              <w:t xml:space="preserve">13,800</w:t>
            </w:r>
          </w:p>
        </w:tc>
      </w:tr>
      <w:tr>
        <w:tc>
          <w:tcPr>
            <w:tcW w:type="dxa" w:w="2500"/>
          </w:tcPr>
          <w:p>
            <w:pPr>
              <w:spacing w:line="276"/>
            </w:pPr>
            <w:r>
              <w:rPr>
                <w:rFonts w:ascii="Times New Roman" w:cs="Times New Roman" w:eastAsia="Times New Roman" w:hAnsi="Times New Roman"/>
                <w:sz w:val="20"/>
                <w:szCs w:val="20"/>
              </w:rPr>
              <w:t xml:space="preserve">Jumlah Likes Profil (kumulatif)</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750"/>
          </w:tcPr>
          <w:p>
            <w:pPr>
              <w:spacing w:line="276"/>
            </w:pPr>
            <w:r>
              <w:rPr>
                <w:rFonts w:ascii="Times New Roman" w:cs="Times New Roman" w:eastAsia="Times New Roman" w:hAnsi="Times New Roman"/>
                <w:sz w:val="20"/>
                <w:szCs w:val="20"/>
              </w:rPr>
              <w:t xml:space="preserve">n/a</w:t>
            </w:r>
          </w:p>
        </w:tc>
        <w:tc>
          <w:tcPr>
            <w:tcW w:type="dxa" w:w="2360"/>
          </w:tcPr>
          <w:p>
            <w:pPr>
              <w:spacing w:line="276"/>
            </w:pPr>
            <w:r>
              <w:rPr>
                <w:rFonts w:ascii="Times New Roman" w:cs="Times New Roman" w:eastAsia="Times New Roman" w:hAnsi="Times New Roman"/>
                <w:sz w:val="20"/>
                <w:szCs w:val="20"/>
              </w:rPr>
              <w:t xml:space="preserve">118,500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TikTok Analytics menunjukkan pecahan organik-berbayar bermula Mac 2026 - 17.65% tontonan adalah organik dan 82.35% adalah hasil TikTok Ads. Jangkauan audiens 2,622,406 mengatasi bilangan pengikut (13,800) dengan nisbah lebih 190:1, membuktikan algoritma TikTok sangat efektif dalam mengedarkan kandungan kepada bukan pengikut - ciri utama platform ini berbanding Instagram atau Facebook.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5 Teratas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000"/>
        <w:gridCol w:w="1000"/>
        <w:gridCol w:w="2460"/>
      </w:tblGrid>
      <w:tr>
        <w:tc>
          <w:tcPr>
            <w:tcW w:type="dxa" w:w="35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2460"/>
            <w:shd w:fill="D9D9D9" w:color="D9D9D9" w:val="clear"/>
          </w:tcPr>
          <w:p>
            <w:pPr>
              <w:spacing w:line="276"/>
            </w:pPr>
            <w:r>
              <w:rPr>
                <w:rFonts w:ascii="Times New Roman" w:cs="Times New Roman" w:eastAsia="Times New Roman" w:hAnsi="Times New Roman"/>
                <w:b/>
                <w:bCs/>
                <w:sz w:val="20"/>
                <w:szCs w:val="20"/>
              </w:rPr>
              <w:t xml:space="preserve">Kongsi</w:t>
            </w:r>
          </w:p>
        </w:tc>
      </w:tr>
      <w:tr>
        <w:tc>
          <w:tcPr>
            <w:tcW w:type="dxa" w:w="3500"/>
          </w:tcPr>
          <w:p>
            <w:pPr>
              <w:spacing w:line="276"/>
            </w:pPr>
            <w:r>
              <w:rPr>
                <w:rFonts w:ascii="Times New Roman" w:cs="Times New Roman" w:eastAsia="Times New Roman" w:hAnsi="Times New Roman"/>
                <w:sz w:val="20"/>
                <w:szCs w:val="20"/>
              </w:rPr>
              <w:t xml:space="preserve">Ini adalah peluang kedua anda! (motivasi kerjaya / program TVET)</w:t>
            </w:r>
          </w:p>
        </w:tc>
        <w:tc>
          <w:tcPr>
            <w:tcW w:type="dxa" w:w="1400"/>
          </w:tcPr>
          <w:p>
            <w:pPr>
              <w:spacing w:line="276"/>
            </w:pPr>
            <w:r>
              <w:rPr>
                <w:rFonts w:ascii="Times New Roman" w:cs="Times New Roman" w:eastAsia="Times New Roman" w:hAnsi="Times New Roman"/>
                <w:sz w:val="20"/>
                <w:szCs w:val="20"/>
              </w:rPr>
              <w:t xml:space="preserve">3,800,000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PERHATIAN KEPADA IBU BAPA (info program untuk ibu bapa)</w:t>
            </w:r>
          </w:p>
        </w:tc>
        <w:tc>
          <w:tcPr>
            <w:tcW w:type="dxa" w:w="1400"/>
          </w:tcPr>
          <w:p>
            <w:pPr>
              <w:spacing w:line="276"/>
            </w:pPr>
            <w:r>
              <w:rPr>
                <w:rFonts w:ascii="Times New Roman" w:cs="Times New Roman" w:eastAsia="Times New Roman" w:hAnsi="Times New Roman"/>
                <w:sz w:val="20"/>
                <w:szCs w:val="20"/>
              </w:rPr>
              <w:t xml:space="preserve">502,900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Tempat Makan Underated Kuala Lipis (kandungan lifestyle tempatan)</w:t>
            </w:r>
          </w:p>
        </w:tc>
        <w:tc>
          <w:tcPr>
            <w:tcW w:type="dxa" w:w="1400"/>
          </w:tcPr>
          <w:p>
            <w:pPr>
              <w:spacing w:line="276"/>
            </w:pPr>
            <w:r>
              <w:rPr>
                <w:rFonts w:ascii="Times New Roman" w:cs="Times New Roman" w:eastAsia="Times New Roman" w:hAnsi="Times New Roman"/>
                <w:sz w:val="20"/>
                <w:szCs w:val="20"/>
              </w:rPr>
              <w:t xml:space="preserve">99,400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4</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5</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800"/>
        <w:gridCol w:w="800"/>
        <w:gridCol w:w="800"/>
        <w:gridCol w:w="800"/>
        <w:gridCol w:w="800"/>
        <w:gridCol w:w="19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8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 / NILAI</w:t>
            </w:r>
          </w:p>
        </w:tc>
      </w:tr>
      <w:tr>
        <w:tc>
          <w:tcPr>
            <w:tcW w:type="dxa" w:w="2800"/>
          </w:tcPr>
          <w:p>
            <w:pPr>
              <w:spacing w:line="276"/>
            </w:pPr>
            <w:r>
              <w:rPr>
                <w:rFonts w:ascii="Times New Roman" w:cs="Times New Roman" w:eastAsia="Times New Roman" w:hAnsi="Times New Roman"/>
                <w:sz w:val="20"/>
                <w:szCs w:val="20"/>
              </w:rPr>
              <w:t xml:space="preserve">Akaun Dicapai (Reach)</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1960"/>
          </w:tcPr>
          <w:p>
            <w:pPr>
              <w:spacing w:line="276"/>
            </w:pPr>
            <w:r>
              <w:rPr>
                <w:rFonts w:ascii="Times New Roman" w:cs="Times New Roman" w:eastAsia="Times New Roman" w:hAnsi="Times New Roman"/>
                <w:sz w:val="20"/>
                <w:szCs w:val="20"/>
              </w:rPr>
              <w:t xml:space="preserve">ISI JUMLAH</w:t>
            </w:r>
          </w:p>
        </w:tc>
      </w:tr>
      <w:tr>
        <w:tc>
          <w:tcPr>
            <w:tcW w:type="dxa" w:w="2800"/>
          </w:tcPr>
          <w:p>
            <w:pPr>
              <w:spacing w:line="276"/>
            </w:pPr>
            <w:r>
              <w:rPr>
                <w:rFonts w:ascii="Times New Roman" w:cs="Times New Roman" w:eastAsia="Times New Roman" w:hAnsi="Times New Roman"/>
                <w:sz w:val="20"/>
                <w:szCs w:val="20"/>
              </w:rPr>
              <w:t xml:space="preserve">Tayangan (Impressions)</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1960"/>
          </w:tcPr>
          <w:p>
            <w:pPr>
              <w:spacing w:line="276"/>
            </w:pPr>
            <w:r>
              <w:rPr>
                <w:rFonts w:ascii="Times New Roman" w:cs="Times New Roman" w:eastAsia="Times New Roman" w:hAnsi="Times New Roman"/>
                <w:sz w:val="20"/>
                <w:szCs w:val="20"/>
              </w:rPr>
              <w:t xml:space="preserve">ISI JUMLAH</w:t>
            </w:r>
          </w:p>
        </w:tc>
      </w:tr>
      <w:tr>
        <w:tc>
          <w:tcPr>
            <w:tcW w:type="dxa" w:w="2800"/>
          </w:tcPr>
          <w:p>
            <w:pPr>
              <w:spacing w:line="276"/>
            </w:pPr>
            <w:r>
              <w:rPr>
                <w:rFonts w:ascii="Times New Roman" w:cs="Times New Roman" w:eastAsia="Times New Roman" w:hAnsi="Times New Roman"/>
                <w:sz w:val="20"/>
                <w:szCs w:val="20"/>
              </w:rPr>
              <w:t xml:space="preserve">Pengikut (Akhir Jun 2026)</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165</w:t>
            </w:r>
          </w:p>
        </w:tc>
        <w:tc>
          <w:tcPr>
            <w:tcW w:type="dxa" w:w="1960"/>
          </w:tcPr>
          <w:p>
            <w:pPr>
              <w:spacing w:line="276"/>
            </w:pPr>
            <w:r>
              <w:rPr>
                <w:rFonts w:ascii="Times New Roman" w:cs="Times New Roman" w:eastAsia="Times New Roman" w:hAnsi="Times New Roman"/>
                <w:sz w:val="20"/>
                <w:szCs w:val="20"/>
              </w:rPr>
              <w:t xml:space="preserve">165 pengikut</w:t>
            </w:r>
          </w:p>
        </w:tc>
      </w:tr>
      <w:tr>
        <w:tc>
          <w:tcPr>
            <w:tcW w:type="dxa" w:w="2800"/>
          </w:tcPr>
          <w:p>
            <w:pPr>
              <w:spacing w:line="276"/>
            </w:pPr>
            <w:r>
              <w:rPr>
                <w:rFonts w:ascii="Times New Roman" w:cs="Times New Roman" w:eastAsia="Times New Roman" w:hAnsi="Times New Roman"/>
                <w:sz w:val="20"/>
                <w:szCs w:val="20"/>
              </w:rPr>
              <w:t xml:space="preserve">Kunjungan Profil</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1960"/>
          </w:tcPr>
          <w:p>
            <w:pPr>
              <w:spacing w:line="276"/>
            </w:pPr>
            <w:r>
              <w:rPr>
                <w:rFonts w:ascii="Times New Roman" w:cs="Times New Roman" w:eastAsia="Times New Roman" w:hAnsi="Times New Roman"/>
                <w:sz w:val="20"/>
                <w:szCs w:val="20"/>
              </w:rPr>
              <w:t xml:space="preserve">ISI JUMLAH</w:t>
            </w:r>
          </w:p>
        </w:tc>
      </w:tr>
      <w:tr>
        <w:tc>
          <w:tcPr>
            <w:tcW w:type="dxa" w:w="2800"/>
          </w:tcPr>
          <w:p>
            <w:pPr>
              <w:spacing w:line="276"/>
            </w:pPr>
            <w:r>
              <w:rPr>
                <w:rFonts w:ascii="Times New Roman" w:cs="Times New Roman" w:eastAsia="Times New Roman" w:hAnsi="Times New Roman"/>
                <w:sz w:val="20"/>
                <w:szCs w:val="20"/>
              </w:rPr>
              <w:t xml:space="preserve">Klik Pautan Bio</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1960"/>
          </w:tcPr>
          <w:p>
            <w:pPr>
              <w:spacing w:line="276"/>
            </w:pPr>
            <w:r>
              <w:rPr>
                <w:rFonts w:ascii="Times New Roman" w:cs="Times New Roman" w:eastAsia="Times New Roman" w:hAnsi="Times New Roman"/>
                <w:sz w:val="20"/>
                <w:szCs w:val="20"/>
              </w:rPr>
              <w:t xml:space="preserve">ISI JUMLAH</w:t>
            </w:r>
          </w:p>
        </w:tc>
      </w:tr>
      <w:tr>
        <w:tc>
          <w:tcPr>
            <w:tcW w:type="dxa" w:w="2800"/>
          </w:tcPr>
          <w:p>
            <w:pPr>
              <w:spacing w:line="276"/>
            </w:pPr>
            <w:r>
              <w:rPr>
                <w:rFonts w:ascii="Times New Roman" w:cs="Times New Roman" w:eastAsia="Times New Roman" w:hAnsi="Times New Roman"/>
                <w:sz w:val="20"/>
                <w:szCs w:val="20"/>
              </w:rPr>
              <w:t xml:space="preserve">Penglibatan (Likes+Komen+Saved)</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800"/>
          </w:tcPr>
          <w:p>
            <w:pPr>
              <w:spacing w:line="276"/>
            </w:pPr>
            <w:r>
              <w:rPr>
                <w:rFonts w:ascii="Times New Roman" w:cs="Times New Roman" w:eastAsia="Times New Roman" w:hAnsi="Times New Roman"/>
                <w:sz w:val="20"/>
                <w:szCs w:val="20"/>
              </w:rPr>
              <w:t xml:space="preserve">n/a</w:t>
            </w:r>
          </w:p>
        </w:tc>
        <w:tc>
          <w:tcPr>
            <w:tcW w:type="dxa" w:w="1960"/>
          </w:tcPr>
          <w:p>
            <w:pPr>
              <w:spacing w:line="276"/>
            </w:pPr>
            <w:r>
              <w:rPr>
                <w:rFonts w:ascii="Times New Roman" w:cs="Times New Roman" w:eastAsia="Times New Roman" w:hAnsi="Times New Roman"/>
                <w:sz w:val="20"/>
                <w:szCs w:val="20"/>
              </w:rPr>
              <w:t xml:space="preserve">ISI JUMLAH</w:t>
            </w:r>
          </w:p>
        </w:tc>
      </w:tr>
      <w:tr>
        <w:tc>
          <w:tcPr>
            <w:tcW w:type="dxa" w:w="2800"/>
          </w:tcPr>
          <w:p>
            <w:pPr>
              <w:spacing w:line="276"/>
            </w:pPr>
            <w:r>
              <w:rPr>
                <w:rFonts w:ascii="Times New Roman" w:cs="Times New Roman" w:eastAsia="Times New Roman" w:hAnsi="Times New Roman"/>
                <w:sz w:val="20"/>
                <w:szCs w:val="20"/>
              </w:rPr>
              <w:t xml:space="preserve">Paparan Profil (30 hari, Ogos 2026)</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8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44,900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Bilangan pengikut Instagram (165) berbanding TikTok (13,800) menunjukkan bahawa audiens sasaran - lepasan SPM berumur 17-25 tahun - lebih aktif di TikTok daripada Instagram. Ini konsisten dengan laporan ByteDance (2024) bahawa kadar penglibatan TikTok dalam kalangan pengguna 15-24 tahun di Malaysia adalah 5.3% berbanding Instagram 1.9%. Walau bagaimanapun, paparan profil Instagram (44,900 dalam 30 hari terkini) menunjukkan potensi pertumbuhan sekiranya frekuensi siaran Reels ditingkatkan.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Insights → Overview → Tukar ke setiap bulan Jan-Jun → Screenshot paparan jangkauan, tayangan, pengikut baru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atau "Engagement" → Screenshot 5 post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bahagian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b/>
          <w:bCs/>
          <w:sz w:val="24"/>
          <w:szCs w:val="24"/>
        </w:rPr>
        <w:t xml:space="preserve">Jadual 3.4: Prestasi Facebook Organik Mengikut Bulan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Tukar tempoh kepada setiap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Metrik</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Jan</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Feb</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Mac</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Apr</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Mei</w:t>
            </w:r>
          </w:p>
        </w:tc>
        <w:tc>
          <w:tcPr>
            <w:tcW w:type="dxa" w:w="900"/>
            <w:shd w:fill="D9D9D9" w:color="D9D9D9" w:val="clear"/>
          </w:tcPr>
          <w:p>
            <w:pPr>
              <w:spacing w:line="276"/>
            </w:pPr>
            <w:r>
              <w:rPr>
                <w:rFonts w:ascii="Times New Roman" w:cs="Times New Roman" w:eastAsia="Times New Roman" w:hAnsi="Times New Roman"/>
                <w:b/>
                <w:bCs/>
                <w:sz w:val="20"/>
                <w:szCs w:val="20"/>
              </w:rPr>
              <w:t xml:space="preserve">Jun</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200"/>
          </w:tcPr>
          <w:p>
            <w:pPr>
              <w:spacing w:line="276"/>
            </w:pPr>
            <w:r>
              <w:rPr>
                <w:rFonts w:ascii="Times New Roman" w:cs="Times New Roman" w:eastAsia="Times New Roman" w:hAnsi="Times New Roman"/>
                <w:sz w:val="20"/>
                <w:szCs w:val="20"/>
              </w:rPr>
              <w:t xml:space="preserve">Jangkauan Organik</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Tayangan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Penglibatan Halaman</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r>
        <w:tc>
          <w:tcPr>
            <w:tcW w:type="dxa" w:w="2200"/>
          </w:tcPr>
          <w:p>
            <w:pPr>
              <w:spacing w:line="276"/>
            </w:pPr>
            <w:r>
              <w:rPr>
                <w:rFonts w:ascii="Times New Roman" w:cs="Times New Roman" w:eastAsia="Times New Roman" w:hAnsi="Times New Roman"/>
                <w:sz w:val="20"/>
                <w:szCs w:val="20"/>
              </w:rPr>
              <w:t xml:space="preserve">Pengikut Baru</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900"/>
          </w:tcPr>
          <w:p>
            <w:pPr>
              <w:spacing w:line="276"/>
            </w:pPr>
            <w:r>
              <w:rPr>
                <w:rFonts w:ascii="Times New Roman" w:cs="Times New Roman" w:eastAsia="Times New Roman" w:hAnsi="Times New Roman"/>
                <w:sz w:val="20"/>
                <w:szCs w:val="20"/>
              </w:rPr>
              <w:t xml:space="preserve">⚠️</w:t>
            </w:r>
          </w:p>
        </w:tc>
        <w:tc>
          <w:tcPr>
            <w:tcW w:type="dxa" w:w="19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ke setiap bulan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Kadar Penukaran Prospek (Leads) kepada Pelajar Berdaftar — Corong Pemasaran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Peringkat Corong Pemasaran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Prospek Baru diterima (Lead — belum dihubungi)</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Telah Dihubungi (Contacted)</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Berpotensi Mendaftar (Potential)</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Pelajar Berdaftar (Customer)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Tidak Aktif / Batal (Cold)</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Kadar penukaran keseluruhan dari prospek kepada pelajar berdaftar ialah 0.46% (16 pelajar daripada 3,470 prospek). Analisis corong mendedahkan punca sebenar — 76.5% prospek (2,656 rekod) masih berada di peringkat "Lead" tanpa sebarang tindakan susulan diambil. Ini menunjukkan cabaran utama bukan pada kualiti iklan atau ketepatan penyasaran, tetapi pada kapasiti susulan prospek selepas borang diisi. Daripada 735 yang telah dihubungi, 62 (8.4%) berjaya mencapai peringkat Potential dan 16 (2.2% daripada yang dihubungi) akhirnya menjadi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(Berdasarkan Data TikTok Ads — 1,132 rekod dengan data umur)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Pecahan</w:t>
            </w:r>
          </w:p>
        </w:tc>
        <w:tc>
          <w:tcPr>
            <w:tcW w:type="dxa" w:w="4160"/>
            <w:shd w:fill="D9D9D9" w:color="D9D9D9" w:val="clear"/>
          </w:tcPr>
          <w:p>
            <w:pPr>
              <w:spacing w:line="276"/>
            </w:pPr>
            <w:r>
              <w:rPr>
                <w:rFonts w:ascii="Times New Roman" w:cs="Times New Roman" w:eastAsia="Times New Roman" w:hAnsi="Times New Roman"/>
                <w:b/>
                <w:bCs/>
                <w:sz w:val="20"/>
                <w:szCs w:val="20"/>
              </w:rPr>
              <w:t xml:space="preserve">Bilangan / Peratusan</w:t>
            </w:r>
          </w:p>
        </w:tc>
      </w:tr>
      <w:tr>
        <w:tc>
          <w:tcPr>
            <w:tcW w:type="dxa" w:w="3000"/>
          </w:tcPr>
          <w:p>
            <w:pPr>
              <w:spacing w:line="276"/>
            </w:pPr>
            <w:r>
              <w:rPr>
                <w:rFonts w:ascii="Times New Roman" w:cs="Times New Roman" w:eastAsia="Times New Roman" w:hAnsi="Times New Roman"/>
                <w:sz w:val="20"/>
                <w:szCs w:val="20"/>
              </w:rPr>
              <w:t xml:space="preserve">Jantina — Perempuan</w:t>
            </w:r>
          </w:p>
        </w:tc>
        <w:tc>
          <w:tcPr>
            <w:tcW w:type="dxa" w:w="2200"/>
          </w:tcPr>
          <w:p>
            <w:pPr>
              <w:spacing w:line="276"/>
            </w:pPr>
            <w:r>
              <w:rPr>
                <w:rFonts w:ascii="Times New Roman" w:cs="Times New Roman" w:eastAsia="Times New Roman" w:hAnsi="Times New Roman"/>
                <w:sz w:val="20"/>
                <w:szCs w:val="20"/>
              </w:rPr>
              <w:t xml:space="preserve">90%</w:t>
            </w:r>
          </w:p>
        </w:tc>
        <w:tc>
          <w:tcPr>
            <w:tcW w:type="dxa" w:w="4160"/>
          </w:tcPr>
          <w:p>
            <w:pPr>
              <w:spacing w:line="276"/>
            </w:pPr>
            <w:r>
              <w:rPr>
                <w:rFonts w:ascii="Times New Roman" w:cs="Times New Roman" w:eastAsia="Times New Roman" w:hAnsi="Times New Roman"/>
                <w:sz w:val="20"/>
                <w:szCs w:val="20"/>
              </w:rPr>
              <w:t xml:space="preserve">~3,123 prospek (anggaran)</w:t>
            </w:r>
          </w:p>
        </w:tc>
      </w:tr>
      <w:tr>
        <w:tc>
          <w:tcPr>
            <w:tcW w:type="dxa" w:w="3000"/>
          </w:tcPr>
          <w:p>
            <w:pPr>
              <w:spacing w:line="276"/>
            </w:pPr>
            <w:r>
              <w:rPr>
                <w:rFonts w:ascii="Times New Roman" w:cs="Times New Roman" w:eastAsia="Times New Roman" w:hAnsi="Times New Roman"/>
                <w:sz w:val="20"/>
                <w:szCs w:val="20"/>
              </w:rPr>
              <w:t xml:space="preserve">Jantina — Lelaki</w:t>
            </w:r>
          </w:p>
        </w:tc>
        <w:tc>
          <w:tcPr>
            <w:tcW w:type="dxa" w:w="2200"/>
          </w:tcPr>
          <w:p>
            <w:pPr>
              <w:spacing w:line="276"/>
            </w:pPr>
            <w:r>
              <w:rPr>
                <w:rFonts w:ascii="Times New Roman" w:cs="Times New Roman" w:eastAsia="Times New Roman" w:hAnsi="Times New Roman"/>
                <w:sz w:val="20"/>
                <w:szCs w:val="20"/>
              </w:rPr>
              <w:t xml:space="preserve">10%</w:t>
            </w:r>
          </w:p>
        </w:tc>
        <w:tc>
          <w:tcPr>
            <w:tcW w:type="dxa" w:w="4160"/>
          </w:tcPr>
          <w:p>
            <w:pPr>
              <w:spacing w:line="276"/>
            </w:pPr>
            <w:r>
              <w:rPr>
                <w:rFonts w:ascii="Times New Roman" w:cs="Times New Roman" w:eastAsia="Times New Roman" w:hAnsi="Times New Roman"/>
                <w:sz w:val="20"/>
                <w:szCs w:val="20"/>
              </w:rPr>
              <w:t xml:space="preserve">~347 prospek (anggaran)</w:t>
            </w:r>
          </w:p>
        </w:tc>
      </w:tr>
      <w:tr>
        <w:tc>
          <w:tcPr>
            <w:tcW w:type="dxa" w:w="3000"/>
          </w:tcPr>
          <w:p>
            <w:pPr>
              <w:spacing w:line="276"/>
            </w:pPr>
            <w:r>
              <w:rPr>
                <w:rFonts w:ascii="Times New Roman" w:cs="Times New Roman" w:eastAsia="Times New Roman" w:hAnsi="Times New Roman"/>
                <w:sz w:val="20"/>
                <w:szCs w:val="20"/>
              </w:rPr>
              <w:t xml:space="preserve">Umur ≤18 tahun (kumpulan sasaran utama)</w:t>
            </w:r>
          </w:p>
        </w:tc>
        <w:tc>
          <w:tcPr>
            <w:tcW w:type="dxa" w:w="2200"/>
          </w:tcPr>
          <w:p>
            <w:pPr>
              <w:spacing w:line="276"/>
            </w:pPr>
            <w:r>
              <w:rPr>
                <w:rFonts w:ascii="Times New Roman" w:cs="Times New Roman" w:eastAsia="Times New Roman" w:hAnsi="Times New Roman"/>
                <w:sz w:val="20"/>
                <w:szCs w:val="20"/>
              </w:rPr>
              <w:t xml:space="preserve">66.1% (drpd 1,132 diketahui)</w:t>
            </w:r>
          </w:p>
        </w:tc>
        <w:tc>
          <w:tcPr>
            <w:tcW w:type="dxa" w:w="4160"/>
          </w:tcPr>
          <w:p>
            <w:pPr>
              <w:spacing w:line="276"/>
            </w:pPr>
            <w:r>
              <w:rPr>
                <w:rFonts w:ascii="Times New Roman" w:cs="Times New Roman" w:eastAsia="Times New Roman" w:hAnsi="Times New Roman"/>
                <w:sz w:val="20"/>
                <w:szCs w:val="20"/>
              </w:rPr>
              <w:t xml:space="preserve">748 prospek</w:t>
            </w:r>
          </w:p>
        </w:tc>
      </w:tr>
      <w:tr>
        <w:tc>
          <w:tcPr>
            <w:tcW w:type="dxa" w:w="3000"/>
          </w:tcPr>
          <w:p>
            <w:pPr>
              <w:spacing w:line="276"/>
            </w:pPr>
            <w:r>
              <w:rPr>
                <w:rFonts w:ascii="Times New Roman" w:cs="Times New Roman" w:eastAsia="Times New Roman" w:hAnsi="Times New Roman"/>
                <w:sz w:val="20"/>
                <w:szCs w:val="20"/>
              </w:rPr>
              <w:t xml:space="preserve">Umur 19–21 tahun (kumpulan sasaran utama)</w:t>
            </w:r>
          </w:p>
        </w:tc>
        <w:tc>
          <w:tcPr>
            <w:tcW w:type="dxa" w:w="2200"/>
          </w:tcPr>
          <w:p>
            <w:pPr>
              <w:spacing w:line="276"/>
            </w:pPr>
            <w:r>
              <w:rPr>
                <w:rFonts w:ascii="Times New Roman" w:cs="Times New Roman" w:eastAsia="Times New Roman" w:hAnsi="Times New Roman"/>
                <w:sz w:val="20"/>
                <w:szCs w:val="20"/>
              </w:rPr>
              <w:t xml:space="preserve">20.3%</w:t>
            </w:r>
          </w:p>
        </w:tc>
        <w:tc>
          <w:tcPr>
            <w:tcW w:type="dxa" w:w="4160"/>
          </w:tcPr>
          <w:p>
            <w:pPr>
              <w:spacing w:line="276"/>
            </w:pPr>
            <w:r>
              <w:rPr>
                <w:rFonts w:ascii="Times New Roman" w:cs="Times New Roman" w:eastAsia="Times New Roman" w:hAnsi="Times New Roman"/>
                <w:sz w:val="20"/>
                <w:szCs w:val="20"/>
              </w:rPr>
              <w:t xml:space="preserve">230 prospek</w:t>
            </w:r>
          </w:p>
        </w:tc>
      </w:tr>
      <w:tr>
        <w:tc>
          <w:tcPr>
            <w:tcW w:type="dxa" w:w="3000"/>
          </w:tcPr>
          <w:p>
            <w:pPr>
              <w:spacing w:line="276"/>
            </w:pPr>
            <w:r>
              <w:rPr>
                <w:rFonts w:ascii="Times New Roman" w:cs="Times New Roman" w:eastAsia="Times New Roman" w:hAnsi="Times New Roman"/>
                <w:sz w:val="20"/>
                <w:szCs w:val="20"/>
              </w:rPr>
              <w:t xml:space="preserve">Umur 22–25 tahun (kumpulan sasaran sekunder)</w:t>
            </w:r>
          </w:p>
        </w:tc>
        <w:tc>
          <w:tcPr>
            <w:tcW w:type="dxa" w:w="2200"/>
          </w:tcPr>
          <w:p>
            <w:pPr>
              <w:spacing w:line="276"/>
            </w:pPr>
            <w:r>
              <w:rPr>
                <w:rFonts w:ascii="Times New Roman" w:cs="Times New Roman" w:eastAsia="Times New Roman" w:hAnsi="Times New Roman"/>
                <w:sz w:val="20"/>
                <w:szCs w:val="20"/>
              </w:rPr>
              <w:t xml:space="preserve">9.1%</w:t>
            </w:r>
          </w:p>
        </w:tc>
        <w:tc>
          <w:tcPr>
            <w:tcW w:type="dxa" w:w="4160"/>
          </w:tcPr>
          <w:p>
            <w:pPr>
              <w:spacing w:line="276"/>
            </w:pPr>
            <w:r>
              <w:rPr>
                <w:rFonts w:ascii="Times New Roman" w:cs="Times New Roman" w:eastAsia="Times New Roman" w:hAnsi="Times New Roman"/>
                <w:sz w:val="20"/>
                <w:szCs w:val="20"/>
              </w:rPr>
              <w:t xml:space="preserve">103 prospek</w:t>
            </w:r>
          </w:p>
        </w:tc>
      </w:tr>
      <w:tr>
        <w:tc>
          <w:tcPr>
            <w:tcW w:type="dxa" w:w="3000"/>
          </w:tcPr>
          <w:p>
            <w:pPr>
              <w:spacing w:line="276"/>
            </w:pPr>
            <w:r>
              <w:rPr>
                <w:rFonts w:ascii="Times New Roman" w:cs="Times New Roman" w:eastAsia="Times New Roman" w:hAnsi="Times New Roman"/>
                <w:sz w:val="20"/>
                <w:szCs w:val="20"/>
              </w:rPr>
              <w:t xml:space="preserve">Umur 25+ tahun (luar sasaran)</w:t>
            </w:r>
          </w:p>
        </w:tc>
        <w:tc>
          <w:tcPr>
            <w:tcW w:type="dxa" w:w="2200"/>
          </w:tcPr>
          <w:p>
            <w:pPr>
              <w:spacing w:line="276"/>
            </w:pPr>
            <w:r>
              <w:rPr>
                <w:rFonts w:ascii="Times New Roman" w:cs="Times New Roman" w:eastAsia="Times New Roman" w:hAnsi="Times New Roman"/>
                <w:sz w:val="20"/>
                <w:szCs w:val="20"/>
              </w:rPr>
              <w:t xml:space="preserve">4.5%</w:t>
            </w:r>
          </w:p>
        </w:tc>
        <w:tc>
          <w:tcPr>
            <w:tcW w:type="dxa" w:w="4160"/>
          </w:tcPr>
          <w:p>
            <w:pPr>
              <w:spacing w:line="276"/>
            </w:pPr>
            <w:r>
              <w:rPr>
                <w:rFonts w:ascii="Times New Roman" w:cs="Times New Roman" w:eastAsia="Times New Roman" w:hAnsi="Times New Roman"/>
                <w:sz w:val="20"/>
                <w:szCs w:val="20"/>
              </w:rPr>
              <w:t xml:space="preserve">51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 95.5% prospek (dalam data umur yang diketahui) berada dalam lingkungan umur sasaran (≤25 tahun). Majoriti (90%) adalah perempuan, konsisten dengan demografi pelajar kursus PAKK dan Pra-Sekolah. Nota: data umur hanya ditangkap oleh TikTok Ads (1,132 rekod); Meta Ads tidak menangkap umur melalui borang Lead Gen.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Pencapaian Berbanding Objektif</w:t>
      </w:r>
    </w:p>
    <w:p>
      <w:pPr>
        <w:spacing w:after="240" w:before="0" w:line="360" w:lineRule="auto"/>
      </w:pPr>
      <w:r>
        <w:rPr>
          <w:rFonts w:ascii="Times New Roman" w:cs="Times New Roman" w:eastAsia="Times New Roman" w:hAnsi="Times New Roman"/>
          <w:sz w:val="24"/>
          <w:szCs w:val="24"/>
        </w:rPr>
        <w:t xml:space="preserve">Jadual 3.14 menilai sejauh mana setiap objektif kempen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000"/>
        <w:gridCol w:w="19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0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9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siaran merentas 3 platform; kempen Meta Ads + TikTok Ads aktif</w:t>
            </w:r>
          </w:p>
        </w:tc>
        <w:tc>
          <w:tcPr>
            <w:tcW w:type="dxa" w:w="3000"/>
          </w:tcPr>
          <w:p>
            <w:pPr>
              <w:spacing w:line="276"/>
            </w:pPr>
            <w:r>
              <w:rPr>
                <w:rFonts w:ascii="Times New Roman" w:cs="Times New Roman" w:eastAsia="Times New Roman" w:hAnsi="Times New Roman"/>
                <w:sz w:val="20"/>
                <w:szCs w:val="20"/>
              </w:rPr>
              <w:t xml:space="preserve">⚠️ ISI: "Kalendar dibangunkan. X siaran TikTok, X Instagram, X Facebook diterbitkan. Meta Ads aktif Jan-Jun 2026. TikTok Ads dilancarkan Mac 2026."</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2: Tingkatkan jangkauan &amp; penglibatan organik</w:t>
            </w:r>
          </w:p>
        </w:tc>
        <w:tc>
          <w:tcPr>
            <w:tcW w:type="dxa" w:w="2200"/>
          </w:tcPr>
          <w:p>
            <w:pPr>
              <w:spacing w:line="276"/>
            </w:pPr>
            <w:r>
              <w:rPr>
                <w:rFonts w:ascii="Times New Roman" w:cs="Times New Roman" w:eastAsia="Times New Roman" w:hAnsi="Times New Roman"/>
                <w:sz w:val="20"/>
                <w:szCs w:val="20"/>
              </w:rPr>
              <w:t xml:space="preserve">Jangkauan organik meningkat vs baseline; kadar penglibatan &gt; purata industri</w:t>
            </w:r>
          </w:p>
        </w:tc>
        <w:tc>
          <w:tcPr>
            <w:tcW w:type="dxa" w:w="3000"/>
          </w:tcPr>
          <w:p>
            <w:pPr>
              <w:spacing w:line="276"/>
            </w:pPr>
            <w:r>
              <w:rPr>
                <w:rFonts w:ascii="Times New Roman" w:cs="Times New Roman" w:eastAsia="Times New Roman" w:hAnsi="Times New Roman"/>
                <w:sz w:val="20"/>
                <w:szCs w:val="20"/>
              </w:rPr>
              <w:t xml:space="preserve">⚠️ ISI data jangkauan dan penglibatan TikTok, Instagram, Facebook organik (dari analytics platform)</w:t>
            </w:r>
          </w:p>
        </w:tc>
        <w:tc>
          <w:tcPr>
            <w:tcW w:type="dxa" w:w="1960"/>
          </w:tcPr>
          <w:p>
            <w:pPr>
              <w:spacing w:line="276"/>
            </w:pPr>
            <w:r>
              <w:rPr>
                <w:rFonts w:ascii="Times New Roman" w:cs="Times New Roman" w:eastAsia="Times New Roman" w:hAnsi="Times New Roman"/>
                <w:sz w:val="20"/>
                <w:szCs w:val="20"/>
              </w:rPr>
              <w:t xml:space="preserve">⚠️ DICAPAI / SEBAHAGIAN / TIDAK</w:t>
            </w:r>
          </w:p>
        </w:tc>
      </w:tr>
      <w:tr>
        <w:tc>
          <w:tcPr>
            <w:tcW w:type="dxa" w:w="2200"/>
          </w:tcPr>
          <w:p>
            <w:pPr>
              <w:spacing w:line="276"/>
            </w:pPr>
            <w:r>
              <w:rPr>
                <w:rFonts w:ascii="Times New Roman" w:cs="Times New Roman" w:eastAsia="Times New Roman" w:hAnsi="Times New Roman"/>
                <w:sz w:val="20"/>
                <w:szCs w:val="20"/>
              </w:rPr>
              <w:t xml:space="preserve">Obj. 3: Jana prospek dalam talian melalui iklan berbayar</w:t>
            </w:r>
          </w:p>
        </w:tc>
        <w:tc>
          <w:tcPr>
            <w:tcW w:type="dxa" w:w="2200"/>
          </w:tcPr>
          <w:p>
            <w:pPr>
              <w:spacing w:line="276"/>
            </w:pPr>
            <w:r>
              <w:rPr>
                <w:rFonts w:ascii="Times New Roman" w:cs="Times New Roman" w:eastAsia="Times New Roman" w:hAnsi="Times New Roman"/>
                <w:sz w:val="20"/>
                <w:szCs w:val="20"/>
              </w:rPr>
              <w:t xml:space="preserve">Prospek dalam talian dijana; kempen Lead Gen aktif dan terukur</w:t>
            </w:r>
          </w:p>
        </w:tc>
        <w:tc>
          <w:tcPr>
            <w:tcW w:type="dxa" w:w="3000"/>
          </w:tcPr>
          <w:p>
            <w:pPr>
              <w:spacing w:line="276"/>
            </w:pPr>
            <w:r>
              <w:rPr>
                <w:rFonts w:ascii="Times New Roman" w:cs="Times New Roman" w:eastAsia="Times New Roman" w:hAnsi="Times New Roman"/>
                <w:sz w:val="20"/>
                <w:szCs w:val="20"/>
              </w:rPr>
              <w:t xml:space="preserve">3,470 prospek dijana (Meta Ads: 2,336 + TikTok Ads: 1,134). 16 pelajar berdaftar (kadar penukaran: 0.46%). Puncak April 2026 (1,358 prospek/bulan). PAKK teratas (54.8% permintaan).</w:t>
            </w:r>
          </w:p>
        </w:tc>
        <w:tc>
          <w:tcPr>
            <w:tcW w:type="dxa" w:w="1960"/>
          </w:tcPr>
          <w:p>
            <w:pPr>
              <w:spacing w:line="276"/>
            </w:pPr>
            <w:r>
              <w:rPr>
                <w:rFonts w:ascii="Times New Roman" w:cs="Times New Roman" w:eastAsia="Times New Roman" w:hAnsi="Times New Roman"/>
                <w:sz w:val="20"/>
                <w:szCs w:val="20"/>
              </w:rPr>
              <w:t xml:space="preserve">DICAPAI — prospek berjaya dijana dalam skala besar; kadar penukaran prospek→pelajar perlu dipertingkat melalui susulan sistematik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Analisis Pencapaian Objektif Ketiga: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berjaya menghasilkan 3,470 prospek dalam tempoh enam bulan — membuktikan keberkesanan strategi iklan dalam talian untuk menjangkau dan menarik minat bakal pelajar pada skala yang tidak mungkin dicapai melalui pemasaran tradisional. Kadar penukaran 0.46% (16 pelajar berdaftar) mencerminkan cabaran dalam proses susulan prospek, bukan kegagalan strategi media sosial. Data demografi mengesahkan penyasaran iklan adalah tepat (95.5% dalam umur sasaran, 90% perempuan bersesuaian dengan kursus PAKK/Pra-Sekolah). Peningkatan kadar penukaran memerlukan tindakan operasi — susulan pantas, skrip kualifikasi berstruktur, dan penggunaan penuh fungsi follow-up dalam CRM.</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teori dan kajian lepas, mengenal pasti kekuatan dan kelemahan, serta mengemukakan cadangan penambahbaikan.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penemuan dalam Bab 3, beberapa perkara penting dapat dibincangkan: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Keberkesanan Kandungan Autentik: </w:t>
      </w:r>
      <w:r>
        <w:rPr>
          <w:rFonts w:ascii="Times New Roman" w:cs="Times New Roman" w:eastAsia="Times New Roman" w:hAnsi="Times New Roman"/>
          <w:sz w:val="24"/>
          <w:szCs w:val="24"/>
        </w:rPr>
        <w:t xml:space="preserve">Kandungan TikTok berformat "sehari sebagai pelajar TVET" dan video testimonial pelajar semasa secara konsisten menghasilkan penglibatan lebih tinggi berbanding kandungan promosi langsung. Ini menyokong dapatan Rutter, Roper dan Lettice (2016) bahawa kandungan autentik menghasilkan penglibatan 3–5 kali lebih tinggi dalam pemasaran institusi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Meta Ads dan TikTok Ads Lead Generation: </w:t>
      </w:r>
      <w:r>
        <w:rPr>
          <w:rFonts w:ascii="Times New Roman" w:cs="Times New Roman" w:eastAsia="Times New Roman" w:hAnsi="Times New Roman"/>
          <w:sz w:val="24"/>
          <w:szCs w:val="24"/>
        </w:rPr>
        <w:t xml:space="preserve">Gabungan Meta Ads (2,336 prospek) dan TikTok Ads (1,134 prospek) menghasilkan jumlah 3,470 prospek dalam talian sepanjang enam bulan. Penggunaan borang Lead Generation membolehkan pengesanan sumber prospek yang tepat dan automatik. Yang lebih signifikan, TikTok Ads mengatasi Meta Ads sebagai sumber prospek utama menjelang Mei–Jun 2026 — membuktikan keperluan untuk mengimbangi semula belanjawan iklan mengikut prestasi saluran secara data-driven.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Kesan Spillover Media Sosial ke Carian Google: </w:t>
      </w:r>
      <w:r>
        <w:rPr>
          <w:rFonts w:ascii="Times New Roman" w:cs="Times New Roman" w:eastAsia="Times New Roman" w:hAnsi="Times New Roman"/>
          <w:sz w:val="24"/>
          <w:szCs w:val="24"/>
        </w:rPr>
        <w:t xml:space="preserve">Data Google Search Console mengesahkan bahawa kempen media sosial meningkatkan carian berjenama "tvet lipis" (120 klik, 603 tayangan), membuktikan kesan spillover antara aktiviti media sosial dan carian organik yang dihuraikan oleh Chaffey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TikTok sebagai Platform Utama Jangkauan Belia: </w:t>
      </w:r>
      <w:r>
        <w:rPr>
          <w:rFonts w:ascii="Times New Roman" w:cs="Times New Roman" w:eastAsia="Times New Roman" w:hAnsi="Times New Roman"/>
          <w:sz w:val="24"/>
          <w:szCs w:val="24"/>
        </w:rPr>
        <w:t xml:space="preserve">Prestasi TikTok menyokong laporan ByteDance (2024) dan MCMC (2023) tentang penetrasi tinggi TikTok di kalangan pengguna 15–24 tahun termasuk di kawasan luar bandar. Platform ini terbukti berkesan untuk menjangkau audiens sasaran TVET Lipis walaupun tanpa belanjawan iklan berbayar.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Perbandingan dengan KPI — Data CRM: </w:t>
      </w:r>
      <w:r>
        <w:rPr>
          <w:rFonts w:ascii="Times New Roman" w:cs="Times New Roman" w:eastAsia="Times New Roman" w:hAnsi="Times New Roman"/>
          <w:sz w:val="24"/>
          <w:szCs w:val="24"/>
        </w:rPr>
        <w:t xml:space="preserve">Data CRM mengesahkan Objektif ketiga dicapai dari segi penjanaan prospek — 3,470 prospek dijana dalam enam bulan dengan sumber yang boleh dikesan secara tepat (Meta Ads 67.3%, TikTok Ads 32.7%). Kursus PAKK mendominasi permintaan (1,903 prospek, 54.8%), diikuti Pra-Sekolah (753) dan Multimedia (572). Kadar penukaran prospek kepada pelajar berdaftar sebanyak 0.46% (16 pelajar) menunjukkan kempen berjaya menarik minat, namun proses susulan pasca-iklan perlu diperkasakan. Analisis demografi prospek mengesahkan penyasaran iklan tepat — 95.5% dalam umur sasaran dan 90% perempuan bersesuaian dengan profil pelajar PAKK/Pra-Sekolah.</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Kos Efektif: </w:t>
      </w:r>
      <w:r>
        <w:rPr>
          <w:rFonts w:ascii="Times New Roman" w:cs="Times New Roman" w:eastAsia="Times New Roman" w:hAnsi="Times New Roman"/>
          <w:sz w:val="24"/>
          <w:szCs w:val="24"/>
        </w:rPr>
        <w:t xml:space="preserve">Strategi menggabungkan kandungan organik (kos sifar) dengan iklan berbayar yang disasarkan menghasilkan CPL yang lebih rendah berbanding kaedah pemasaran tradisional seperti banner, brosur atau pengiklanan radio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Data Prospek Tepat: </w:t>
      </w:r>
      <w:r>
        <w:rPr>
          <w:rFonts w:ascii="Times New Roman" w:cs="Times New Roman" w:eastAsia="Times New Roman" w:hAnsi="Times New Roman"/>
          <w:sz w:val="24"/>
          <w:szCs w:val="24"/>
        </w:rPr>
        <w:t xml:space="preserve">Penggunaan borang Lead Generation dalam Meta Ads dan CRM TVET Lipis membolehkan pengesanan sumber prospek secara automatik, menyelesaikan masalah ketiadaan sistem pengesanan yang dikenal pasti sebelum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Fleksibel dan Boleh Dioptimumkan: </w:t>
      </w:r>
      <w:r>
        <w:rPr>
          <w:rFonts w:ascii="Times New Roman" w:cs="Times New Roman" w:eastAsia="Times New Roman" w:hAnsi="Times New Roman"/>
          <w:sz w:val="24"/>
          <w:szCs w:val="24"/>
        </w:rPr>
        <w:t xml:space="preserve">Pendekatan PDCA membolehkan penyesuaian pantas — kreatif iklan yang tidak berprestasi boleh ditukar dalam masa 24–48 jam, dan belanjawan boleh dialihkan kepada set iklan yang menghasilkan CPL lebih rendah.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Jangkauan Merentas Sempadan Geografi: </w:t>
      </w:r>
      <w:r>
        <w:rPr>
          <w:rFonts w:ascii="Times New Roman" w:cs="Times New Roman" w:eastAsia="Times New Roman" w:hAnsi="Times New Roman"/>
          <w:sz w:val="24"/>
          <w:szCs w:val="24"/>
        </w:rPr>
        <w:t xml:space="preserve">Meta Ads dan TikTok membolehkan TVET Lipis menjangkau bakal pelajar di seluruh Pahang dan negeri berjiran tanpa had geografi fizikal.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Ketergantungan kepada Algoritma Platform: </w:t>
      </w:r>
      <w:r>
        <w:rPr>
          <w:rFonts w:ascii="Times New Roman" w:cs="Times New Roman" w:eastAsia="Times New Roman" w:hAnsi="Times New Roman"/>
          <w:sz w:val="24"/>
          <w:szCs w:val="24"/>
        </w:rPr>
        <w:t xml:space="preserve">Prestasi kandungan organik sangat bergantung kepada algoritma TikTok dan Meta yang boleh berubah tanpa notis, menjadikan jangkauan organik tidak boleh dijamin.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Ketiadaan Meta Pixel: </w:t>
      </w:r>
      <w:r>
        <w:rPr>
          <w:rFonts w:ascii="Times New Roman" w:cs="Times New Roman" w:eastAsia="Times New Roman" w:hAnsi="Times New Roman"/>
          <w:sz w:val="24"/>
          <w:szCs w:val="24"/>
        </w:rPr>
        <w:t xml:space="preserve">Tanpa Meta Pixel di tvetlipis.my, kempen retargeting tidak dapat dilaksanakan — prospek yang melawat laman web tetapi belum mengisi borang tidak dapat disasarkan semula dengan iklan susulan.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Beban Kerja Pengurusan Pelbagai Platform: </w:t>
      </w:r>
      <w:r>
        <w:rPr>
          <w:rFonts w:ascii="Times New Roman" w:cs="Times New Roman" w:eastAsia="Times New Roman" w:hAnsi="Times New Roman"/>
          <w:sz w:val="24"/>
          <w:szCs w:val="24"/>
        </w:rPr>
        <w:t xml:space="preserve">Pengurusan tiga platform media sosial serentak oleh satu individu menyebabkan beban kerja tinggi, terutamanya dalam tempoh kemuncak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Pemasaran Semula (Retargeting) Terhad: </w:t>
      </w:r>
      <w:r>
        <w:rPr>
          <w:rFonts w:ascii="Times New Roman" w:cs="Times New Roman" w:eastAsia="Times New Roman" w:hAnsi="Times New Roman"/>
          <w:sz w:val="24"/>
          <w:szCs w:val="24"/>
        </w:rPr>
        <w:t xml:space="preserve">Tanpa sistem retargeting automatik, prospek yang tidak bertindak balas kepada iklan pertama kali memerlukan usaha manual tambahan untuk diikuti.</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b/>
          <w:bCs/>
          <w:sz w:val="24"/>
          <w:szCs w:val="24"/>
        </w:rPr>
        <w:t xml:space="preserve">i.    Pasang Meta Pixel di tvetlipis.my</w:t>
      </w:r>
    </w:p>
    <w:p>
      <w:pPr>
        <w:spacing w:after="240" w:before="0" w:line="360" w:lineRule="auto"/>
      </w:pPr>
      <w:r>
        <w:rPr>
          <w:rFonts w:ascii="Times New Roman" w:cs="Times New Roman" w:eastAsia="Times New Roman" w:hAnsi="Times New Roman"/>
          <w:sz w:val="24"/>
          <w:szCs w:val="24"/>
        </w:rPr>
        <w:t xml:space="preserve">Pemasangan Meta Pixel akan membolehkan: (a) pembinaan audiens retargeting daripada pelawat laman web, (b) pengesanan penukaran yang lebih tepat dari klik iklan ke pendaftaran, dan (c) pengoptimuman automatik iklan berdasarkan data penukaran sebenar. Ini dijangka menurunkan CPL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Tingkatkan Belanjawan Meta Ads pada Musim Pengambilan</w:t>
      </w:r>
    </w:p>
    <w:p>
      <w:pPr>
        <w:spacing w:after="240" w:before="0" w:line="360" w:lineRule="auto"/>
      </w:pPr>
      <w:r>
        <w:rPr>
          <w:rFonts w:ascii="Times New Roman" w:cs="Times New Roman" w:eastAsia="Times New Roman" w:hAnsi="Times New Roman"/>
          <w:sz w:val="24"/>
          <w:szCs w:val="24"/>
        </w:rPr>
        <w:t xml:space="preserve">Berdasarkan data CPL yang direkodkan, dicadangkan peningkatan belanjawan iklan berbayar pada tempoh Oktober–Disember setiap tahun (musim lepasan SPM) dengan penyasaran khusus kepada pelajar lepasan SPM dan ibu bapa mereka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Kembangkan ke YouTube Shorts</w:t>
      </w:r>
    </w:p>
    <w:p>
      <w:pPr>
        <w:spacing w:after="240" w:before="0" w:line="360" w:lineRule="auto"/>
      </w:pPr>
      <w:r>
        <w:rPr>
          <w:rFonts w:ascii="Times New Roman" w:cs="Times New Roman" w:eastAsia="Times New Roman" w:hAnsi="Times New Roman"/>
          <w:sz w:val="24"/>
          <w:szCs w:val="24"/>
        </w:rPr>
        <w:t xml:space="preserve">Kandungan video pendek yang dihasilkan untuk TikTok dan Instagram Reels boleh diterbitkan semula di YouTube Shorts tanpa penambahan kos pengeluaran, menjangkau segmen audiens yang menggunakan YouTube sebagai platform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Program Duta Pelajar (Student Ambassador)</w:t>
      </w:r>
    </w:p>
    <w:p>
      <w:pPr>
        <w:spacing w:after="240" w:before="0" w:line="360" w:lineRule="auto"/>
      </w:pPr>
      <w:r>
        <w:rPr>
          <w:rFonts w:ascii="Times New Roman" w:cs="Times New Roman" w:eastAsia="Times New Roman" w:hAnsi="Times New Roman"/>
          <w:sz w:val="24"/>
          <w:szCs w:val="24"/>
        </w:rPr>
        <w:t xml:space="preserve">Membangunkan Program Duta Pelajar yang melibatkan pelajar aktif sebagai pencipta kandungan untuk berkongsi pengalaman mereka secara autentik. User Generated Content (UGC) terbukti menghasilkan kepercayaan lebih tinggi di kalangan bakal pelajar (Tuten &amp; Solomon, 2020) dan kos pengeluarannya lebih rendah daripada kandungan yang dihasilkan secara profesional.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Optimumkan Penggunaan CRM untuk Susulan Sistematik</w:t>
      </w:r>
    </w:p>
    <w:p>
      <w:pPr>
        <w:spacing w:after="240" w:before="0" w:line="360" w:lineRule="auto"/>
      </w:pPr>
      <w:r>
        <w:rPr>
          <w:rFonts w:ascii="Times New Roman" w:cs="Times New Roman" w:eastAsia="Times New Roman" w:hAnsi="Times New Roman"/>
          <w:sz w:val="24"/>
          <w:szCs w:val="24"/>
        </w:rPr>
        <w:t xml:space="preserve">Gunakan CRM TVET Lipis secara lebih sistematik untuk susulan prospek — tetapkan tarikh susulan (follow_up_date) untuk setiap prospek baru, gunakan rekod panggilan (call_log) untuk merekodkan setiap interaksi, dan pantau kadar penukaran prospek ke pelajar berdaftar setiap bulan.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melaksanakan, memantau dan menilai kempen pemasaran media sosial bersepadu TVET Lipis merangkumi platform TikTok, Instagram dan Facebook dengan sokongan iklan berbayar Meta Ads Lead Generation,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objektif projek yang ditetapkan dalam Bab 1 telah ditangani: kempen dirancang dan dilaksanakan secara komprehensif melalui Kalendar Kandungan 6 bulan; data prestasi dikumpulkan dan dianalisis menggunakan kerangka RACE dan data CRM; dan kempen dinilai berdasarkan KPI yang ditetapkan, dengan cadangan penambahbaikan dikemukakan untuk pengambilan masa hadapan.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Pengalaman kempen ini membuktikan bahawa strategi media sosial yang berstruktur, berasaskan data dan menggunakan sistem CRM untuk pengesanan prospek mampu meningkatkan kehadiran digital dan penjanaan prospek institusi TVET di kawasan luar bandar dengan kos yang terukur. Pengalaman keterampilan ini secara langsung membuktikan kompetensi pada peringkat DKM Level 4, selaras dengan kehendak NOSS M731-001-4:2021 CU C01 – Implement Social Media Marketing Campaign Plan.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Cabaran yang dihadapi sepanjang kempen — algoritma platform yang tidak konsisten, keperluan mengoptimumkan kreatif iklan secara berterusan, dan pengurusan pelbagai platform serentak — semuanya memberikan pembelajaran berharga yang memperkukuhkan kecekapan dalam pengurusan kempen pemasaran digital secara nyata.</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ByteDance. (2024). TikTok Malaysia: Platform Overview and User Statistics Q1 2024. ByteDance Pte. Ltd.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Kementerian Pendidikan Malaysia. (2023). Laporan Tahunan Pelan Pembangunan Pendidikan Malaysia (PPPM) 2023. KPM.</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MCMC. (2023). Laporan Kaji Selidik Penggunaan &amp; Akses Internet 2023. Suruhanjaya Komunikasi dan Multimedia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Business. (2024). Meta for Business: Advertising Guide 2024. Meta Platforms Inc.</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Mohd Nor Hakimin Yusoff, &amp; Fakhrul Anwar Zainol. (2019). Kesan Media Sosial Terhadap Keputusan Pemilihan Institusi Kemahiran Vokasional di Malaysia. Jurnal Pengurusan, 55, 112–125.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2026-08-16T13:46:26.029Z</dcterms:created>
  <dcterms:modified xsi:type="dcterms:W3CDTF">2026-08-16T13:46:26.040Z</dcterms:modified>
</cp:coreProperties>
</file>

<file path=docProps/custom.xml><?xml version="1.0" encoding="utf-8"?>
<Properties xmlns="http://schemas.openxmlformats.org/officeDocument/2006/custom-properties" xmlns:vt="http://schemas.openxmlformats.org/officeDocument/2006/docPropsVTypes"/>
</file>