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rPr>
          <w:color w:val="1F3864"/>
        </w:rPr>
        <w:t>CU3 — Search Engine Marketing (SEM)</w:t>
        <w:br/>
        <w:t>Google Ads Campaign Plan</w:t>
      </w:r>
    </w:p>
    <w:p>
      <w:pPr>
        <w:spacing w:after="40"/>
      </w:pPr>
      <w:r>
        <w:rPr>
          <w:b/>
          <w:sz w:val="20"/>
        </w:rPr>
        <w:t xml:space="preserve">Ref: </w:t>
      </w:r>
      <w:r>
        <w:rPr>
          <w:sz w:val="20"/>
        </w:rPr>
        <w:t>TVET-CU3-SEM-001</w:t>
      </w:r>
    </w:p>
    <w:p>
      <w:pPr>
        <w:spacing w:after="40"/>
      </w:pPr>
      <w:r>
        <w:rPr>
          <w:b/>
          <w:sz w:val="20"/>
        </w:rPr>
        <w:t xml:space="preserve">Organisation: </w:t>
      </w:r>
      <w:r>
        <w:rPr>
          <w:sz w:val="20"/>
        </w:rPr>
        <w:t>TVET Lipis (tvetlipis.my) — Fokus Kiara Sdn Bhd</w:t>
      </w:r>
    </w:p>
    <w:p>
      <w:pPr>
        <w:spacing w:after="40"/>
      </w:pPr>
      <w:r>
        <w:rPr>
          <w:b/>
          <w:sz w:val="20"/>
        </w:rPr>
        <w:t xml:space="preserve">Prepared by: </w:t>
      </w:r>
      <w:r>
        <w:rPr>
          <w:sz w:val="20"/>
        </w:rPr>
        <w:t>Zuriel Seong Ming Ee — Head of Sales &amp; Digital Marketing</w:t>
      </w:r>
    </w:p>
    <w:p>
      <w:pPr>
        <w:spacing w:after="40"/>
      </w:pPr>
      <w:r>
        <w:rPr>
          <w:b/>
          <w:sz w:val="20"/>
        </w:rPr>
        <w:t xml:space="preserve">Plan Date: </w:t>
      </w:r>
      <w:r>
        <w:rPr>
          <w:sz w:val="20"/>
        </w:rPr>
        <w:t>January 2025</w:t>
      </w:r>
    </w:p>
    <w:p>
      <w:pPr>
        <w:spacing w:after="40"/>
      </w:pPr>
      <w:r>
        <w:rPr>
          <w:b/>
          <w:sz w:val="20"/>
        </w:rPr>
        <w:t xml:space="preserve">Campaign Start: </w:t>
      </w:r>
      <w:r>
        <w:rPr>
          <w:sz w:val="20"/>
        </w:rPr>
        <w:t>Q2 2025 (pending budget approval)</w:t>
      </w:r>
    </w:p>
    <w:p>
      <w:pPr>
        <w:spacing w:after="40"/>
      </w:pPr>
      <w:r>
        <w:rPr>
          <w:b/>
          <w:sz w:val="20"/>
        </w:rPr>
        <w:t xml:space="preserve">Work Activities Covered: </w:t>
      </w:r>
      <w:r>
        <w:rPr>
          <w:sz w:val="20"/>
        </w:rPr>
        <w:t>WA1 (Select SEM Channel), WA2 (Plan SEM Campaign)</w:t>
      </w:r>
    </w:p>
    <w:p/>
    <w:p>
      <w:pPr>
        <w:pStyle w:val="Heading2"/>
        <w:jc w:val="left"/>
      </w:pPr>
      <w:r>
        <w:rPr>
          <w:color w:val="1F3864"/>
        </w:rPr>
        <w:t>1. Strategic Purpose</w:t>
      </w:r>
    </w:p>
    <w:p>
      <w:r>
        <w:rPr>
          <w:b w:val="0"/>
          <w:i w:val="0"/>
          <w:sz w:val="22"/>
        </w:rPr>
        <w:t>This SEM Campaign Plan outlines the Google Ads strategy to supplement organic SEO during the 6–12 month period required for SEO rankings to mature. The plan targets prospective students actively searching for TVET diploma programs in Pahang, using Search campaigns with high purchase-intent keywords. All campaign parameters — targeting, bidding, ad copy, and budget — are planned and ready for implementation upon management approval.</w:t>
      </w:r>
    </w:p>
    <w:p>
      <w:pPr>
        <w:pStyle w:val="Heading2"/>
        <w:jc w:val="left"/>
      </w:pPr>
      <w:r>
        <w:rPr>
          <w:color w:val="1F3864"/>
        </w:rPr>
        <w:t>2. Campaign Overview</w:t>
      </w:r>
    </w:p>
    <w:tbl>
      <w:tblPr>
        <w:tblStyle w:val="TableGrid"/>
        <w:tblW w:type="auto" w:w="0"/>
        <w:jc w:val="left"/>
        <w:tblLook w:firstColumn="1" w:firstRow="1" w:lastColumn="0" w:lastRow="0" w:noHBand="0" w:noVBand="1" w:val="04A0"/>
      </w:tblPr>
      <w:tblGrid>
        <w:gridCol w:w="4561"/>
        <w:gridCol w:w="4561"/>
      </w:tblGrid>
      <w:tr>
        <w:tc>
          <w:tcPr>
            <w:tcW w:type="dxa" w:w="4561"/>
            <w:shd w:val="clear" w:color="auto" w:fill="1F3864"/>
          </w:tcPr>
          <w:p>
            <w:pPr>
              <w:jc w:val="center"/>
            </w:pPr>
            <w:r>
              <w:rPr>
                <w:b/>
                <w:color w:val="FFFFFF"/>
                <w:sz w:val="18"/>
              </w:rPr>
              <w:t>Parameter</w:t>
            </w:r>
          </w:p>
        </w:tc>
        <w:tc>
          <w:tcPr>
            <w:tcW w:type="dxa" w:w="4561"/>
            <w:shd w:val="clear" w:color="auto" w:fill="1F3864"/>
          </w:tcPr>
          <w:p>
            <w:pPr>
              <w:jc w:val="center"/>
            </w:pPr>
            <w:r>
              <w:rPr>
                <w:b/>
                <w:color w:val="FFFFFF"/>
                <w:sz w:val="18"/>
              </w:rPr>
              <w:t>Details</w:t>
            </w:r>
          </w:p>
        </w:tc>
      </w:tr>
      <w:tr>
        <w:tc>
          <w:tcPr>
            <w:tcW w:type="dxa" w:w="4561"/>
            <w:shd w:val="clear" w:color="auto" w:fill="F2F2F2"/>
          </w:tcPr>
          <w:p>
            <w:r>
              <w:rPr>
                <w:sz w:val="18"/>
              </w:rPr>
              <w:t>Campaign Type</w:t>
            </w:r>
          </w:p>
        </w:tc>
        <w:tc>
          <w:tcPr>
            <w:tcW w:type="dxa" w:w="4561"/>
            <w:shd w:val="clear" w:color="auto" w:fill="F2F2F2"/>
          </w:tcPr>
          <w:p>
            <w:r>
              <w:rPr>
                <w:sz w:val="18"/>
              </w:rPr>
              <w:t>Google Search Ads (Keyword-targeted)</w:t>
            </w:r>
          </w:p>
        </w:tc>
      </w:tr>
      <w:tr>
        <w:tc>
          <w:tcPr>
            <w:tcW w:type="dxa" w:w="4561"/>
            <w:shd w:val="clear" w:color="auto" w:fill="FFFFFF"/>
          </w:tcPr>
          <w:p>
            <w:r>
              <w:rPr>
                <w:sz w:val="18"/>
              </w:rPr>
              <w:t>Objective</w:t>
            </w:r>
          </w:p>
        </w:tc>
        <w:tc>
          <w:tcPr>
            <w:tcW w:type="dxa" w:w="4561"/>
            <w:shd w:val="clear" w:color="auto" w:fill="FFFFFF"/>
          </w:tcPr>
          <w:p>
            <w:r>
              <w:rPr>
                <w:sz w:val="18"/>
              </w:rPr>
              <w:t>Lead generation — form fills / WhatsApp clicks</w:t>
            </w:r>
          </w:p>
        </w:tc>
      </w:tr>
      <w:tr>
        <w:tc>
          <w:tcPr>
            <w:tcW w:type="dxa" w:w="4561"/>
            <w:shd w:val="clear" w:color="auto" w:fill="F2F2F2"/>
          </w:tcPr>
          <w:p>
            <w:r>
              <w:rPr>
                <w:sz w:val="18"/>
              </w:rPr>
              <w:t>Target Geography</w:t>
            </w:r>
          </w:p>
        </w:tc>
        <w:tc>
          <w:tcPr>
            <w:tcW w:type="dxa" w:w="4561"/>
            <w:shd w:val="clear" w:color="auto" w:fill="F2F2F2"/>
          </w:tcPr>
          <w:p>
            <w:r>
              <w:rPr>
                <w:sz w:val="18"/>
              </w:rPr>
              <w:t>Pahang, Kelantan, Terengganu, Perak (neighbouring states)</w:t>
            </w:r>
          </w:p>
        </w:tc>
      </w:tr>
      <w:tr>
        <w:tc>
          <w:tcPr>
            <w:tcW w:type="dxa" w:w="4561"/>
            <w:shd w:val="clear" w:color="auto" w:fill="FFFFFF"/>
          </w:tcPr>
          <w:p>
            <w:r>
              <w:rPr>
                <w:sz w:val="18"/>
              </w:rPr>
              <w:t>Target Audience</w:t>
            </w:r>
          </w:p>
        </w:tc>
        <w:tc>
          <w:tcPr>
            <w:tcW w:type="dxa" w:w="4561"/>
            <w:shd w:val="clear" w:color="auto" w:fill="FFFFFF"/>
          </w:tcPr>
          <w:p>
            <w:r>
              <w:rPr>
                <w:sz w:val="18"/>
              </w:rPr>
              <w:t>Ages 16–35, interests: education, TVET, vocational</w:t>
            </w:r>
          </w:p>
        </w:tc>
      </w:tr>
      <w:tr>
        <w:tc>
          <w:tcPr>
            <w:tcW w:type="dxa" w:w="4561"/>
            <w:shd w:val="clear" w:color="auto" w:fill="F2F2F2"/>
          </w:tcPr>
          <w:p>
            <w:r>
              <w:rPr>
                <w:sz w:val="18"/>
              </w:rPr>
              <w:t>Primary Language</w:t>
            </w:r>
          </w:p>
        </w:tc>
        <w:tc>
          <w:tcPr>
            <w:tcW w:type="dxa" w:w="4561"/>
            <w:shd w:val="clear" w:color="auto" w:fill="F2F2F2"/>
          </w:tcPr>
          <w:p>
            <w:r>
              <w:rPr>
                <w:sz w:val="18"/>
              </w:rPr>
              <w:t>Bahasa Malaysia</w:t>
            </w:r>
          </w:p>
        </w:tc>
      </w:tr>
      <w:tr>
        <w:tc>
          <w:tcPr>
            <w:tcW w:type="dxa" w:w="4561"/>
            <w:shd w:val="clear" w:color="auto" w:fill="FFFFFF"/>
          </w:tcPr>
          <w:p>
            <w:r>
              <w:rPr>
                <w:sz w:val="18"/>
              </w:rPr>
              <w:t>Campaign Duration</w:t>
            </w:r>
          </w:p>
        </w:tc>
        <w:tc>
          <w:tcPr>
            <w:tcW w:type="dxa" w:w="4561"/>
            <w:shd w:val="clear" w:color="auto" w:fill="FFFFFF"/>
          </w:tcPr>
          <w:p>
            <w:r>
              <w:rPr>
                <w:sz w:val="18"/>
              </w:rPr>
              <w:t>3 months pilot (April – June 2025)</w:t>
            </w:r>
          </w:p>
        </w:tc>
      </w:tr>
      <w:tr>
        <w:tc>
          <w:tcPr>
            <w:tcW w:type="dxa" w:w="4561"/>
            <w:shd w:val="clear" w:color="auto" w:fill="F2F2F2"/>
          </w:tcPr>
          <w:p>
            <w:r>
              <w:rPr>
                <w:sz w:val="18"/>
              </w:rPr>
              <w:t>Landing Page</w:t>
            </w:r>
          </w:p>
        </w:tc>
        <w:tc>
          <w:tcPr>
            <w:tcW w:type="dxa" w:w="4561"/>
            <w:shd w:val="clear" w:color="auto" w:fill="F2F2F2"/>
          </w:tcPr>
          <w:p>
            <w:r>
              <w:rPr>
                <w:sz w:val="18"/>
              </w:rPr>
              <w:t>https://tvetlipis.my/program/ and https://tvetlipis.my/ppt/</w:t>
            </w:r>
          </w:p>
        </w:tc>
      </w:tr>
      <w:tr>
        <w:tc>
          <w:tcPr>
            <w:tcW w:type="dxa" w:w="4561"/>
            <w:shd w:val="clear" w:color="auto" w:fill="FFFFFF"/>
          </w:tcPr>
          <w:p>
            <w:r>
              <w:rPr>
                <w:sz w:val="18"/>
              </w:rPr>
              <w:t>Conversion Goal</w:t>
            </w:r>
          </w:p>
        </w:tc>
        <w:tc>
          <w:tcPr>
            <w:tcW w:type="dxa" w:w="4561"/>
            <w:shd w:val="clear" w:color="auto" w:fill="FFFFFF"/>
          </w:tcPr>
          <w:p>
            <w:r>
              <w:rPr>
                <w:sz w:val="18"/>
              </w:rPr>
              <w:t>WhatsApp click OR contact form submission</w:t>
            </w:r>
          </w:p>
        </w:tc>
      </w:tr>
    </w:tbl>
    <w:p/>
    <w:p>
      <w:pPr>
        <w:pStyle w:val="Heading2"/>
        <w:jc w:val="left"/>
      </w:pPr>
      <w:r>
        <w:rPr>
          <w:color w:val="1F3864"/>
        </w:rPr>
        <w:t>3. Keyword Strategy</w:t>
      </w:r>
    </w:p>
    <w:p>
      <w:r>
        <w:rPr>
          <w:b w:val="0"/>
          <w:i w:val="0"/>
          <w:sz w:val="22"/>
        </w:rPr>
        <w:t>Keywords segmented by Ad Group (campaigns grouped by intent):</w:t>
      </w:r>
    </w:p>
    <w:tbl>
      <w:tblPr>
        <w:tblStyle w:val="TableGrid"/>
        <w:tblW w:type="auto" w:w="0"/>
        <w:jc w:val="left"/>
        <w:tblLook w:firstColumn="1" w:firstRow="1" w:lastColumn="0" w:lastRow="0" w:noHBand="0" w:noVBand="1" w:val="04A0"/>
      </w:tblPr>
      <w:tblGrid>
        <w:gridCol w:w="2280"/>
        <w:gridCol w:w="2280"/>
        <w:gridCol w:w="2280"/>
        <w:gridCol w:w="2280"/>
      </w:tblGrid>
      <w:tr>
        <w:tc>
          <w:tcPr>
            <w:tcW w:type="dxa" w:w="2280"/>
            <w:shd w:val="clear" w:color="auto" w:fill="1F3864"/>
          </w:tcPr>
          <w:p>
            <w:pPr>
              <w:jc w:val="center"/>
            </w:pPr>
            <w:r>
              <w:rPr>
                <w:b/>
                <w:color w:val="FFFFFF"/>
                <w:sz w:val="18"/>
              </w:rPr>
              <w:t>Ad Group</w:t>
            </w:r>
          </w:p>
        </w:tc>
        <w:tc>
          <w:tcPr>
            <w:tcW w:type="dxa" w:w="2280"/>
            <w:shd w:val="clear" w:color="auto" w:fill="1F3864"/>
          </w:tcPr>
          <w:p>
            <w:pPr>
              <w:jc w:val="center"/>
            </w:pPr>
            <w:r>
              <w:rPr>
                <w:b/>
                <w:color w:val="FFFFFF"/>
                <w:sz w:val="18"/>
              </w:rPr>
              <w:t>Keywords (Match Types)</w:t>
            </w:r>
          </w:p>
        </w:tc>
        <w:tc>
          <w:tcPr>
            <w:tcW w:type="dxa" w:w="2280"/>
            <w:shd w:val="clear" w:color="auto" w:fill="1F3864"/>
          </w:tcPr>
          <w:p>
            <w:pPr>
              <w:jc w:val="center"/>
            </w:pPr>
            <w:r>
              <w:rPr>
                <w:b/>
                <w:color w:val="FFFFFF"/>
                <w:sz w:val="18"/>
              </w:rPr>
              <w:t>Est. CPC (RM)</w:t>
            </w:r>
          </w:p>
        </w:tc>
        <w:tc>
          <w:tcPr>
            <w:tcW w:type="dxa" w:w="2280"/>
            <w:shd w:val="clear" w:color="auto" w:fill="1F3864"/>
          </w:tcPr>
          <w:p>
            <w:pPr>
              <w:jc w:val="center"/>
            </w:pPr>
            <w:r>
              <w:rPr>
                <w:b/>
                <w:color w:val="FFFFFF"/>
                <w:sz w:val="18"/>
              </w:rPr>
              <w:t>Intent</w:t>
            </w:r>
          </w:p>
        </w:tc>
      </w:tr>
      <w:tr>
        <w:tc>
          <w:tcPr>
            <w:tcW w:type="dxa" w:w="2280"/>
            <w:shd w:val="clear" w:color="auto" w:fill="F2F2F2"/>
          </w:tcPr>
          <w:p>
            <w:r>
              <w:rPr>
                <w:sz w:val="18"/>
              </w:rPr>
              <w:t>Brand</w:t>
            </w:r>
          </w:p>
        </w:tc>
        <w:tc>
          <w:tcPr>
            <w:tcW w:type="dxa" w:w="2280"/>
            <w:shd w:val="clear" w:color="auto" w:fill="F2F2F2"/>
          </w:tcPr>
          <w:p>
            <w:r>
              <w:rPr>
                <w:sz w:val="18"/>
              </w:rPr>
              <w:t>"TVET Lipis" [Exact]</w:t>
              <w:br/>
              <w:t>"tvetlipis.my" [Exact]</w:t>
            </w:r>
          </w:p>
        </w:tc>
        <w:tc>
          <w:tcPr>
            <w:tcW w:type="dxa" w:w="2280"/>
            <w:shd w:val="clear" w:color="auto" w:fill="F2F2F2"/>
          </w:tcPr>
          <w:p>
            <w:r>
              <w:rPr>
                <w:sz w:val="18"/>
              </w:rPr>
              <w:t>0.20–0.50</w:t>
            </w:r>
          </w:p>
        </w:tc>
        <w:tc>
          <w:tcPr>
            <w:tcW w:type="dxa" w:w="2280"/>
            <w:shd w:val="clear" w:color="auto" w:fill="F2F2F2"/>
          </w:tcPr>
          <w:p>
            <w:r>
              <w:rPr>
                <w:sz w:val="18"/>
              </w:rPr>
              <w:t>Brand protection</w:t>
            </w:r>
          </w:p>
        </w:tc>
      </w:tr>
      <w:tr>
        <w:tc>
          <w:tcPr>
            <w:tcW w:type="dxa" w:w="2280"/>
            <w:shd w:val="clear" w:color="auto" w:fill="FFFFFF"/>
          </w:tcPr>
          <w:p>
            <w:r>
              <w:rPr>
                <w:sz w:val="18"/>
              </w:rPr>
              <w:t>Program – PAKK</w:t>
            </w:r>
          </w:p>
        </w:tc>
        <w:tc>
          <w:tcPr>
            <w:tcW w:type="dxa" w:w="2280"/>
            <w:shd w:val="clear" w:color="auto" w:fill="FFFFFF"/>
          </w:tcPr>
          <w:p>
            <w:r>
              <w:rPr>
                <w:sz w:val="18"/>
              </w:rPr>
              <w:t>"diploma pendidikan awal kanak-kanak" [Phrase]</w:t>
              <w:br/>
              <w:t>"SKM PAKK" [Broad Match Mod]</w:t>
            </w:r>
          </w:p>
        </w:tc>
        <w:tc>
          <w:tcPr>
            <w:tcW w:type="dxa" w:w="2280"/>
            <w:shd w:val="clear" w:color="auto" w:fill="FFFFFF"/>
          </w:tcPr>
          <w:p>
            <w:r>
              <w:rPr>
                <w:sz w:val="18"/>
              </w:rPr>
              <w:t>0.80–1.50</w:t>
            </w:r>
          </w:p>
        </w:tc>
        <w:tc>
          <w:tcPr>
            <w:tcW w:type="dxa" w:w="2280"/>
            <w:shd w:val="clear" w:color="auto" w:fill="FFFFFF"/>
          </w:tcPr>
          <w:p>
            <w:r>
              <w:rPr>
                <w:sz w:val="18"/>
              </w:rPr>
              <w:t>High intent</w:t>
            </w:r>
          </w:p>
        </w:tc>
      </w:tr>
      <w:tr>
        <w:tc>
          <w:tcPr>
            <w:tcW w:type="dxa" w:w="2280"/>
            <w:shd w:val="clear" w:color="auto" w:fill="F2F2F2"/>
          </w:tcPr>
          <w:p>
            <w:r>
              <w:rPr>
                <w:sz w:val="18"/>
              </w:rPr>
              <w:t>Program – Multimedia</w:t>
            </w:r>
          </w:p>
        </w:tc>
        <w:tc>
          <w:tcPr>
            <w:tcW w:type="dxa" w:w="2280"/>
            <w:shd w:val="clear" w:color="auto" w:fill="F2F2F2"/>
          </w:tcPr>
          <w:p>
            <w:r>
              <w:rPr>
                <w:sz w:val="18"/>
              </w:rPr>
              <w:t>"diploma multimedia Pahang" [Phrase]</w:t>
              <w:br/>
              <w:t>"kursus multimedia SKM" [BMM]</w:t>
            </w:r>
          </w:p>
        </w:tc>
        <w:tc>
          <w:tcPr>
            <w:tcW w:type="dxa" w:w="2280"/>
            <w:shd w:val="clear" w:color="auto" w:fill="F2F2F2"/>
          </w:tcPr>
          <w:p>
            <w:r>
              <w:rPr>
                <w:sz w:val="18"/>
              </w:rPr>
              <w:t>0.60–1.20</w:t>
            </w:r>
          </w:p>
        </w:tc>
        <w:tc>
          <w:tcPr>
            <w:tcW w:type="dxa" w:w="2280"/>
            <w:shd w:val="clear" w:color="auto" w:fill="F2F2F2"/>
          </w:tcPr>
          <w:p>
            <w:r>
              <w:rPr>
                <w:sz w:val="18"/>
              </w:rPr>
              <w:t>High intent</w:t>
            </w:r>
          </w:p>
        </w:tc>
      </w:tr>
      <w:tr>
        <w:tc>
          <w:tcPr>
            <w:tcW w:type="dxa" w:w="2280"/>
            <w:shd w:val="clear" w:color="auto" w:fill="FFFFFF"/>
          </w:tcPr>
          <w:p>
            <w:r>
              <w:rPr>
                <w:sz w:val="18"/>
              </w:rPr>
              <w:t>Program – Elektrik</w:t>
            </w:r>
          </w:p>
        </w:tc>
        <w:tc>
          <w:tcPr>
            <w:tcW w:type="dxa" w:w="2280"/>
            <w:shd w:val="clear" w:color="auto" w:fill="FFFFFF"/>
          </w:tcPr>
          <w:p>
            <w:r>
              <w:rPr>
                <w:sz w:val="18"/>
              </w:rPr>
              <w:t>"sijil elektrik JPK" [Phrase]</w:t>
              <w:br/>
              <w:t>"kursus elektrik Pahang" [BMM]</w:t>
            </w:r>
          </w:p>
        </w:tc>
        <w:tc>
          <w:tcPr>
            <w:tcW w:type="dxa" w:w="2280"/>
            <w:shd w:val="clear" w:color="auto" w:fill="FFFFFF"/>
          </w:tcPr>
          <w:p>
            <w:r>
              <w:rPr>
                <w:sz w:val="18"/>
              </w:rPr>
              <w:t>0.90–1.80</w:t>
            </w:r>
          </w:p>
        </w:tc>
        <w:tc>
          <w:tcPr>
            <w:tcW w:type="dxa" w:w="2280"/>
            <w:shd w:val="clear" w:color="auto" w:fill="FFFFFF"/>
          </w:tcPr>
          <w:p>
            <w:r>
              <w:rPr>
                <w:sz w:val="18"/>
              </w:rPr>
              <w:t>High intent</w:t>
            </w:r>
          </w:p>
        </w:tc>
      </w:tr>
      <w:tr>
        <w:tc>
          <w:tcPr>
            <w:tcW w:type="dxa" w:w="2280"/>
            <w:shd w:val="clear" w:color="auto" w:fill="F2F2F2"/>
          </w:tcPr>
          <w:p>
            <w:r>
              <w:rPr>
                <w:sz w:val="18"/>
              </w:rPr>
              <w:t>PPT / RPL</w:t>
            </w:r>
          </w:p>
        </w:tc>
        <w:tc>
          <w:tcPr>
            <w:tcW w:type="dxa" w:w="2280"/>
            <w:shd w:val="clear" w:color="auto" w:fill="F2F2F2"/>
          </w:tcPr>
          <w:p>
            <w:r>
              <w:rPr>
                <w:sz w:val="18"/>
              </w:rPr>
              <w:t>"PPT DKM" [Phrase]</w:t>
              <w:br/>
              <w:t>"pengiktirafan pencapaian terdahulu" [Phrase]</w:t>
            </w:r>
          </w:p>
        </w:tc>
        <w:tc>
          <w:tcPr>
            <w:tcW w:type="dxa" w:w="2280"/>
            <w:shd w:val="clear" w:color="auto" w:fill="F2F2F2"/>
          </w:tcPr>
          <w:p>
            <w:r>
              <w:rPr>
                <w:sz w:val="18"/>
              </w:rPr>
              <w:t>0.50–1.00</w:t>
            </w:r>
          </w:p>
        </w:tc>
        <w:tc>
          <w:tcPr>
            <w:tcW w:type="dxa" w:w="2280"/>
            <w:shd w:val="clear" w:color="auto" w:fill="F2F2F2"/>
          </w:tcPr>
          <w:p>
            <w:r>
              <w:rPr>
                <w:sz w:val="18"/>
              </w:rPr>
              <w:t>Medium intent</w:t>
            </w:r>
          </w:p>
        </w:tc>
      </w:tr>
      <w:tr>
        <w:tc>
          <w:tcPr>
            <w:tcW w:type="dxa" w:w="2280"/>
            <w:shd w:val="clear" w:color="auto" w:fill="FFFFFF"/>
          </w:tcPr>
          <w:p>
            <w:r>
              <w:rPr>
                <w:sz w:val="18"/>
              </w:rPr>
              <w:t>PTPK Funding</w:t>
            </w:r>
          </w:p>
        </w:tc>
        <w:tc>
          <w:tcPr>
            <w:tcW w:type="dxa" w:w="2280"/>
            <w:shd w:val="clear" w:color="auto" w:fill="FFFFFF"/>
          </w:tcPr>
          <w:p>
            <w:r>
              <w:rPr>
                <w:sz w:val="18"/>
              </w:rPr>
              <w:t>"pinjaman PTPK" [Phrase]</w:t>
              <w:br/>
              <w:t>"kolej kemahiran PTPK" [BMM]</w:t>
            </w:r>
          </w:p>
        </w:tc>
        <w:tc>
          <w:tcPr>
            <w:tcW w:type="dxa" w:w="2280"/>
            <w:shd w:val="clear" w:color="auto" w:fill="FFFFFF"/>
          </w:tcPr>
          <w:p>
            <w:r>
              <w:rPr>
                <w:sz w:val="18"/>
              </w:rPr>
              <w:t>0.40–0.80</w:t>
            </w:r>
          </w:p>
        </w:tc>
        <w:tc>
          <w:tcPr>
            <w:tcW w:type="dxa" w:w="2280"/>
            <w:shd w:val="clear" w:color="auto" w:fill="FFFFFF"/>
          </w:tcPr>
          <w:p>
            <w:r>
              <w:rPr>
                <w:sz w:val="18"/>
              </w:rPr>
              <w:t>Research intent</w:t>
            </w:r>
          </w:p>
        </w:tc>
      </w:tr>
      <w:tr>
        <w:tc>
          <w:tcPr>
            <w:tcW w:type="dxa" w:w="2280"/>
            <w:shd w:val="clear" w:color="auto" w:fill="F2F2F2"/>
          </w:tcPr>
          <w:p>
            <w:r>
              <w:rPr>
                <w:sz w:val="18"/>
              </w:rPr>
              <w:t>Location</w:t>
            </w:r>
          </w:p>
        </w:tc>
        <w:tc>
          <w:tcPr>
            <w:tcW w:type="dxa" w:w="2280"/>
            <w:shd w:val="clear" w:color="auto" w:fill="F2F2F2"/>
          </w:tcPr>
          <w:p>
            <w:r>
              <w:rPr>
                <w:sz w:val="18"/>
              </w:rPr>
              <w:t>"kolej vokasional Kuala Lipis" [BMM]</w:t>
              <w:br/>
              <w:t>"TVET Pahang" [BMM]</w:t>
            </w:r>
          </w:p>
        </w:tc>
        <w:tc>
          <w:tcPr>
            <w:tcW w:type="dxa" w:w="2280"/>
            <w:shd w:val="clear" w:color="auto" w:fill="F2F2F2"/>
          </w:tcPr>
          <w:p>
            <w:r>
              <w:rPr>
                <w:sz w:val="18"/>
              </w:rPr>
              <w:t>0.30–0.70</w:t>
            </w:r>
          </w:p>
        </w:tc>
        <w:tc>
          <w:tcPr>
            <w:tcW w:type="dxa" w:w="2280"/>
            <w:shd w:val="clear" w:color="auto" w:fill="F2F2F2"/>
          </w:tcPr>
          <w:p>
            <w:r>
              <w:rPr>
                <w:sz w:val="18"/>
              </w:rPr>
              <w:t>Discovery</w:t>
            </w:r>
          </w:p>
        </w:tc>
      </w:tr>
    </w:tbl>
    <w:p/>
    <w:p>
      <w:pPr>
        <w:pStyle w:val="Heading2"/>
        <w:jc w:val="left"/>
      </w:pPr>
      <w:r>
        <w:rPr>
          <w:color w:val="1F3864"/>
        </w:rPr>
        <w:t>4. Ad Copy Templates</w:t>
      </w:r>
    </w:p>
    <w:p>
      <w:r>
        <w:rPr>
          <w:b w:val="0"/>
          <w:i w:val="0"/>
          <w:sz w:val="22"/>
        </w:rPr>
        <w:t>Responsive Search Ads — 3 Headlines + 2 Descriptions per group:</w:t>
      </w:r>
    </w:p>
    <w:tbl>
      <w:tblPr>
        <w:tblStyle w:val="TableGrid"/>
        <w:tblW w:type="auto" w:w="0"/>
        <w:jc w:val="left"/>
        <w:tblLook w:firstColumn="1" w:firstRow="1" w:lastColumn="0" w:lastRow="0" w:noHBand="0" w:noVBand="1" w:val="04A0"/>
      </w:tblPr>
      <w:tblGrid>
        <w:gridCol w:w="1824"/>
        <w:gridCol w:w="1824"/>
        <w:gridCol w:w="1824"/>
        <w:gridCol w:w="1824"/>
        <w:gridCol w:w="1824"/>
      </w:tblGrid>
      <w:tr>
        <w:tc>
          <w:tcPr>
            <w:tcW w:type="dxa" w:w="1824"/>
            <w:shd w:val="clear" w:color="auto" w:fill="1A7A7A"/>
          </w:tcPr>
          <w:p>
            <w:pPr>
              <w:jc w:val="center"/>
            </w:pPr>
            <w:r>
              <w:rPr>
                <w:b/>
                <w:color w:val="FFFFFF"/>
                <w:sz w:val="18"/>
              </w:rPr>
              <w:t>Ad Group</w:t>
            </w:r>
          </w:p>
        </w:tc>
        <w:tc>
          <w:tcPr>
            <w:tcW w:type="dxa" w:w="1824"/>
            <w:shd w:val="clear" w:color="auto" w:fill="1A7A7A"/>
          </w:tcPr>
          <w:p>
            <w:pPr>
              <w:jc w:val="center"/>
            </w:pPr>
            <w:r>
              <w:rPr>
                <w:b/>
                <w:color w:val="FFFFFF"/>
                <w:sz w:val="18"/>
              </w:rPr>
              <w:t>Headline 1</w:t>
            </w:r>
          </w:p>
        </w:tc>
        <w:tc>
          <w:tcPr>
            <w:tcW w:type="dxa" w:w="1824"/>
            <w:shd w:val="clear" w:color="auto" w:fill="1A7A7A"/>
          </w:tcPr>
          <w:p>
            <w:pPr>
              <w:jc w:val="center"/>
            </w:pPr>
            <w:r>
              <w:rPr>
                <w:b/>
                <w:color w:val="FFFFFF"/>
                <w:sz w:val="18"/>
              </w:rPr>
              <w:t>Headline 2</w:t>
            </w:r>
          </w:p>
        </w:tc>
        <w:tc>
          <w:tcPr>
            <w:tcW w:type="dxa" w:w="1824"/>
            <w:shd w:val="clear" w:color="auto" w:fill="1A7A7A"/>
          </w:tcPr>
          <w:p>
            <w:pPr>
              <w:jc w:val="center"/>
            </w:pPr>
            <w:r>
              <w:rPr>
                <w:b/>
                <w:color w:val="FFFFFF"/>
                <w:sz w:val="18"/>
              </w:rPr>
              <w:t>Headline 3</w:t>
            </w:r>
          </w:p>
        </w:tc>
        <w:tc>
          <w:tcPr>
            <w:tcW w:type="dxa" w:w="1824"/>
            <w:shd w:val="clear" w:color="auto" w:fill="1A7A7A"/>
          </w:tcPr>
          <w:p>
            <w:pPr>
              <w:jc w:val="center"/>
            </w:pPr>
            <w:r>
              <w:rPr>
                <w:b/>
                <w:color w:val="FFFFFF"/>
                <w:sz w:val="18"/>
              </w:rPr>
              <w:t>Description</w:t>
            </w:r>
          </w:p>
        </w:tc>
      </w:tr>
      <w:tr>
        <w:tc>
          <w:tcPr>
            <w:tcW w:type="dxa" w:w="1824"/>
            <w:shd w:val="clear" w:color="auto" w:fill="F2F2F2"/>
          </w:tcPr>
          <w:p>
            <w:r>
              <w:rPr>
                <w:sz w:val="18"/>
              </w:rPr>
              <w:t>Program</w:t>
            </w:r>
          </w:p>
        </w:tc>
        <w:tc>
          <w:tcPr>
            <w:tcW w:type="dxa" w:w="1824"/>
            <w:shd w:val="clear" w:color="auto" w:fill="F2F2F2"/>
          </w:tcPr>
          <w:p>
            <w:r>
              <w:rPr>
                <w:sz w:val="18"/>
              </w:rPr>
              <w:t>Diploma Kemahiran Malaysia</w:t>
            </w:r>
          </w:p>
        </w:tc>
        <w:tc>
          <w:tcPr>
            <w:tcW w:type="dxa" w:w="1824"/>
            <w:shd w:val="clear" w:color="auto" w:fill="F2F2F2"/>
          </w:tcPr>
          <w:p>
            <w:r>
              <w:rPr>
                <w:sz w:val="18"/>
              </w:rPr>
              <w:t>Biaya PTPK — Percuma Belajar</w:t>
            </w:r>
          </w:p>
        </w:tc>
        <w:tc>
          <w:tcPr>
            <w:tcW w:type="dxa" w:w="1824"/>
            <w:shd w:val="clear" w:color="auto" w:fill="F2F2F2"/>
          </w:tcPr>
          <w:p>
            <w:r>
              <w:rPr>
                <w:sz w:val="18"/>
              </w:rPr>
              <w:t>Daftar Sekarang 2025</w:t>
            </w:r>
          </w:p>
        </w:tc>
        <w:tc>
          <w:tcPr>
            <w:tcW w:type="dxa" w:w="1824"/>
            <w:shd w:val="clear" w:color="auto" w:fill="F2F2F2"/>
          </w:tcPr>
          <w:p>
            <w:r>
              <w:rPr>
                <w:sz w:val="18"/>
              </w:rPr>
              <w:t>Kolej bertauliah JPK K16005. Program PAKK, Multimedia, Elektrik. 70% praktikal. Hubungi: 016-446 6630.</w:t>
            </w:r>
          </w:p>
        </w:tc>
      </w:tr>
      <w:tr>
        <w:tc>
          <w:tcPr>
            <w:tcW w:type="dxa" w:w="1824"/>
            <w:shd w:val="clear" w:color="auto" w:fill="FFFFFF"/>
          </w:tcPr>
          <w:p>
            <w:r>
              <w:rPr>
                <w:sz w:val="18"/>
              </w:rPr>
              <w:t>PPT</w:t>
            </w:r>
          </w:p>
        </w:tc>
        <w:tc>
          <w:tcPr>
            <w:tcW w:type="dxa" w:w="1824"/>
            <w:shd w:val="clear" w:color="auto" w:fill="FFFFFF"/>
          </w:tcPr>
          <w:p>
            <w:r>
              <w:rPr>
                <w:sz w:val="18"/>
              </w:rPr>
              <w:t>DKM Dalam 6 Bulan — PPT</w:t>
            </w:r>
          </w:p>
        </w:tc>
        <w:tc>
          <w:tcPr>
            <w:tcW w:type="dxa" w:w="1824"/>
            <w:shd w:val="clear" w:color="auto" w:fill="FFFFFF"/>
          </w:tcPr>
          <w:p>
            <w:r>
              <w:rPr>
                <w:sz w:val="18"/>
              </w:rPr>
              <w:t>Ada Pengalaman Kerja? Layak!</w:t>
            </w:r>
          </w:p>
        </w:tc>
        <w:tc>
          <w:tcPr>
            <w:tcW w:type="dxa" w:w="1824"/>
            <w:shd w:val="clear" w:color="auto" w:fill="FFFFFF"/>
          </w:tcPr>
          <w:p>
            <w:r>
              <w:rPr>
                <w:sz w:val="18"/>
              </w:rPr>
              <w:t>KWSP Boleh Guna</w:t>
            </w:r>
          </w:p>
        </w:tc>
        <w:tc>
          <w:tcPr>
            <w:tcW w:type="dxa" w:w="1824"/>
            <w:shd w:val="clear" w:color="auto" w:fill="FFFFFF"/>
          </w:tcPr>
          <w:p>
            <w:r>
              <w:rPr>
                <w:sz w:val="18"/>
              </w:rPr>
              <w:t>Raih DKM tanpa belajar dari awal. PPT TVET Lipis — pengalaman kerja anda dihargai.</w:t>
            </w:r>
          </w:p>
        </w:tc>
      </w:tr>
    </w:tbl>
    <w:p/>
    <w:p>
      <w:pPr>
        <w:pStyle w:val="Heading2"/>
        <w:jc w:val="left"/>
      </w:pPr>
      <w:r>
        <w:rPr>
          <w:color w:val="1F3864"/>
        </w:rPr>
        <w:t>5. Negative Keywords</w:t>
      </w:r>
    </w:p>
    <w:p>
      <w:r>
        <w:rPr>
          <w:b w:val="0"/>
          <w:i w:val="0"/>
          <w:sz w:val="22"/>
        </w:rPr>
        <w:t>To prevent wasteful clicks:</w:t>
      </w:r>
    </w:p>
    <w:p>
      <w:r>
        <w:rPr>
          <w:sz w:val="20"/>
        </w:rPr>
        <w:t xml:space="preserve">  • free</w:t>
        <w:br/>
      </w:r>
      <w:r>
        <w:rPr>
          <w:sz w:val="20"/>
        </w:rPr>
        <w:t xml:space="preserve">  • percuma</w:t>
        <w:br/>
      </w:r>
      <w:r>
        <w:rPr>
          <w:sz w:val="20"/>
        </w:rPr>
        <w:t xml:space="preserve">  • universiti</w:t>
        <w:br/>
      </w:r>
      <w:r>
        <w:rPr>
          <w:sz w:val="20"/>
        </w:rPr>
        <w:t xml:space="preserve">  • IPTA</w:t>
        <w:br/>
      </w:r>
      <w:r>
        <w:rPr>
          <w:sz w:val="20"/>
        </w:rPr>
        <w:t xml:space="preserve">  • IPTS</w:t>
        <w:br/>
      </w:r>
      <w:r>
        <w:rPr>
          <w:sz w:val="20"/>
        </w:rPr>
        <w:t xml:space="preserve">  • master</w:t>
        <w:br/>
      </w:r>
      <w:r>
        <w:rPr>
          <w:sz w:val="20"/>
        </w:rPr>
        <w:t xml:space="preserve">  • degree</w:t>
        <w:br/>
      </w:r>
      <w:r>
        <w:rPr>
          <w:sz w:val="20"/>
        </w:rPr>
        <w:t xml:space="preserve">  • PhD</w:t>
        <w:br/>
      </w:r>
      <w:r>
        <w:rPr>
          <w:sz w:val="20"/>
        </w:rPr>
        <w:t xml:space="preserve">  • job vacancy</w:t>
        <w:br/>
      </w:r>
      <w:r>
        <w:rPr>
          <w:sz w:val="20"/>
        </w:rPr>
        <w:t xml:space="preserve">  • kerja kosong</w:t>
        <w:br/>
      </w:r>
      <w:r>
        <w:rPr>
          <w:sz w:val="20"/>
        </w:rPr>
        <w:t xml:space="preserve">  • salary</w:t>
        <w:br/>
      </w:r>
      <w:r>
        <w:rPr>
          <w:sz w:val="20"/>
        </w:rPr>
        <w:t xml:space="preserve">  • gaji</w:t>
        <w:br/>
      </w:r>
    </w:p>
    <w:p>
      <w:pPr>
        <w:pStyle w:val="Heading2"/>
        <w:jc w:val="left"/>
      </w:pPr>
      <w:r>
        <w:rPr>
          <w:color w:val="1F3864"/>
        </w:rPr>
        <w:t>6. Landing Page Strategy</w:t>
      </w:r>
    </w:p>
    <w:tbl>
      <w:tblPr>
        <w:tblStyle w:val="TableGrid"/>
        <w:tblW w:type="auto" w:w="0"/>
        <w:jc w:val="left"/>
        <w:tblLook w:firstColumn="1" w:firstRow="1" w:lastColumn="0" w:lastRow="0" w:noHBand="0" w:noVBand="1" w:val="04A0"/>
      </w:tblPr>
      <w:tblGrid>
        <w:gridCol w:w="3041"/>
        <w:gridCol w:w="3041"/>
        <w:gridCol w:w="3041"/>
      </w:tblGrid>
      <w:tr>
        <w:tc>
          <w:tcPr>
            <w:tcW w:type="dxa" w:w="3041"/>
            <w:shd w:val="clear" w:color="auto" w:fill="1F3864"/>
          </w:tcPr>
          <w:p>
            <w:pPr>
              <w:jc w:val="center"/>
            </w:pPr>
            <w:r>
              <w:rPr>
                <w:b/>
                <w:color w:val="FFFFFF"/>
                <w:sz w:val="18"/>
              </w:rPr>
              <w:t>Ad Group</w:t>
            </w:r>
          </w:p>
        </w:tc>
        <w:tc>
          <w:tcPr>
            <w:tcW w:type="dxa" w:w="3041"/>
            <w:shd w:val="clear" w:color="auto" w:fill="1F3864"/>
          </w:tcPr>
          <w:p>
            <w:pPr>
              <w:jc w:val="center"/>
            </w:pPr>
            <w:r>
              <w:rPr>
                <w:b/>
                <w:color w:val="FFFFFF"/>
                <w:sz w:val="18"/>
              </w:rPr>
              <w:t>Landing Page URL</w:t>
            </w:r>
          </w:p>
        </w:tc>
        <w:tc>
          <w:tcPr>
            <w:tcW w:type="dxa" w:w="3041"/>
            <w:shd w:val="clear" w:color="auto" w:fill="1F3864"/>
          </w:tcPr>
          <w:p>
            <w:pPr>
              <w:jc w:val="center"/>
            </w:pPr>
            <w:r>
              <w:rPr>
                <w:b/>
                <w:color w:val="FFFFFF"/>
                <w:sz w:val="18"/>
              </w:rPr>
              <w:t>Primary CTA</w:t>
            </w:r>
          </w:p>
        </w:tc>
      </w:tr>
      <w:tr>
        <w:tc>
          <w:tcPr>
            <w:tcW w:type="dxa" w:w="3041"/>
            <w:shd w:val="clear" w:color="auto" w:fill="F2F2F2"/>
          </w:tcPr>
          <w:p>
            <w:r>
              <w:rPr>
                <w:sz w:val="18"/>
              </w:rPr>
              <w:t>Program ads</w:t>
            </w:r>
          </w:p>
        </w:tc>
        <w:tc>
          <w:tcPr>
            <w:tcW w:type="dxa" w:w="3041"/>
            <w:shd w:val="clear" w:color="auto" w:fill="F2F2F2"/>
          </w:tcPr>
          <w:p>
            <w:r>
              <w:rPr>
                <w:sz w:val="18"/>
              </w:rPr>
              <w:t>https://tvetlipis.my/program/</w:t>
            </w:r>
          </w:p>
        </w:tc>
        <w:tc>
          <w:tcPr>
            <w:tcW w:type="dxa" w:w="3041"/>
            <w:shd w:val="clear" w:color="auto" w:fill="F2F2F2"/>
          </w:tcPr>
          <w:p>
            <w:r>
              <w:rPr>
                <w:sz w:val="18"/>
              </w:rPr>
              <w:t>WhatsApp button (016-446 6630)</w:t>
            </w:r>
          </w:p>
        </w:tc>
      </w:tr>
      <w:tr>
        <w:tc>
          <w:tcPr>
            <w:tcW w:type="dxa" w:w="3041"/>
            <w:shd w:val="clear" w:color="auto" w:fill="FFFFFF"/>
          </w:tcPr>
          <w:p>
            <w:r>
              <w:rPr>
                <w:sz w:val="18"/>
              </w:rPr>
              <w:t>PPT ads</w:t>
            </w:r>
          </w:p>
        </w:tc>
        <w:tc>
          <w:tcPr>
            <w:tcW w:type="dxa" w:w="3041"/>
            <w:shd w:val="clear" w:color="auto" w:fill="FFFFFF"/>
          </w:tcPr>
          <w:p>
            <w:r>
              <w:rPr>
                <w:sz w:val="18"/>
              </w:rPr>
              <w:t>https://tvetlipis.my/ppt/</w:t>
            </w:r>
          </w:p>
        </w:tc>
        <w:tc>
          <w:tcPr>
            <w:tcW w:type="dxa" w:w="3041"/>
            <w:shd w:val="clear" w:color="auto" w:fill="FFFFFF"/>
          </w:tcPr>
          <w:p>
            <w:r>
              <w:rPr>
                <w:sz w:val="18"/>
              </w:rPr>
              <w:t>WhatsApp + Google Form application</w:t>
            </w:r>
          </w:p>
        </w:tc>
      </w:tr>
      <w:tr>
        <w:tc>
          <w:tcPr>
            <w:tcW w:type="dxa" w:w="3041"/>
            <w:shd w:val="clear" w:color="auto" w:fill="F2F2F2"/>
          </w:tcPr>
          <w:p>
            <w:r>
              <w:rPr>
                <w:sz w:val="18"/>
              </w:rPr>
              <w:t>Brand ads</w:t>
            </w:r>
          </w:p>
        </w:tc>
        <w:tc>
          <w:tcPr>
            <w:tcW w:type="dxa" w:w="3041"/>
            <w:shd w:val="clear" w:color="auto" w:fill="F2F2F2"/>
          </w:tcPr>
          <w:p>
            <w:r>
              <w:rPr>
                <w:sz w:val="18"/>
              </w:rPr>
              <w:t>https://tvetlipis.my/</w:t>
            </w:r>
          </w:p>
        </w:tc>
        <w:tc>
          <w:tcPr>
            <w:tcW w:type="dxa" w:w="3041"/>
            <w:shd w:val="clear" w:color="auto" w:fill="F2F2F2"/>
          </w:tcPr>
          <w:p>
            <w:r>
              <w:rPr>
                <w:sz w:val="18"/>
              </w:rPr>
              <w:t>Daftar Sekarang section</w:t>
            </w:r>
          </w:p>
        </w:tc>
      </w:tr>
    </w:tbl>
    <w:p/>
    <w:p>
      <w:pPr>
        <w:pStyle w:val="Heading2"/>
        <w:jc w:val="left"/>
      </w:pPr>
      <w:r>
        <w:rPr>
          <w:color w:val="1F3864"/>
        </w:rPr>
        <w:t>7. Tracking &amp; Conversion Setup</w:t>
      </w:r>
    </w:p>
    <w:tbl>
      <w:tblPr>
        <w:tblStyle w:val="TableGrid"/>
        <w:tblW w:type="auto" w:w="0"/>
        <w:jc w:val="left"/>
        <w:tblLook w:firstColumn="1" w:firstRow="1" w:lastColumn="0" w:lastRow="0" w:noHBand="0" w:noVBand="1" w:val="04A0"/>
      </w:tblPr>
      <w:tblGrid>
        <w:gridCol w:w="3041"/>
        <w:gridCol w:w="3041"/>
        <w:gridCol w:w="3041"/>
      </w:tblGrid>
      <w:tr>
        <w:tc>
          <w:tcPr>
            <w:tcW w:type="dxa" w:w="3041"/>
            <w:shd w:val="clear" w:color="auto" w:fill="1F3864"/>
          </w:tcPr>
          <w:p>
            <w:pPr>
              <w:jc w:val="center"/>
            </w:pPr>
            <w:r>
              <w:rPr>
                <w:b/>
                <w:color w:val="FFFFFF"/>
                <w:sz w:val="18"/>
              </w:rPr>
              <w:t>Conversion Action</w:t>
            </w:r>
          </w:p>
        </w:tc>
        <w:tc>
          <w:tcPr>
            <w:tcW w:type="dxa" w:w="3041"/>
            <w:shd w:val="clear" w:color="auto" w:fill="1F3864"/>
          </w:tcPr>
          <w:p>
            <w:pPr>
              <w:jc w:val="center"/>
            </w:pPr>
            <w:r>
              <w:rPr>
                <w:b/>
                <w:color w:val="FFFFFF"/>
                <w:sz w:val="18"/>
              </w:rPr>
              <w:t>Tracking Method</w:t>
            </w:r>
          </w:p>
        </w:tc>
        <w:tc>
          <w:tcPr>
            <w:tcW w:type="dxa" w:w="3041"/>
            <w:shd w:val="clear" w:color="auto" w:fill="1F3864"/>
          </w:tcPr>
          <w:p>
            <w:pPr>
              <w:jc w:val="center"/>
            </w:pPr>
            <w:r>
              <w:rPr>
                <w:b/>
                <w:color w:val="FFFFFF"/>
                <w:sz w:val="18"/>
              </w:rPr>
              <w:t>Value Assigned</w:t>
            </w:r>
          </w:p>
        </w:tc>
      </w:tr>
      <w:tr>
        <w:tc>
          <w:tcPr>
            <w:tcW w:type="dxa" w:w="3041"/>
            <w:shd w:val="clear" w:color="auto" w:fill="F2F2F2"/>
          </w:tcPr>
          <w:p>
            <w:r>
              <w:rPr>
                <w:sz w:val="18"/>
              </w:rPr>
              <w:t>WhatsApp button click</w:t>
            </w:r>
          </w:p>
        </w:tc>
        <w:tc>
          <w:tcPr>
            <w:tcW w:type="dxa" w:w="3041"/>
            <w:shd w:val="clear" w:color="auto" w:fill="F2F2F2"/>
          </w:tcPr>
          <w:p>
            <w:r>
              <w:rPr>
                <w:sz w:val="18"/>
              </w:rPr>
              <w:t>Google Tag Manager — click event on WhatsApp href</w:t>
            </w:r>
          </w:p>
        </w:tc>
        <w:tc>
          <w:tcPr>
            <w:tcW w:type="dxa" w:w="3041"/>
            <w:shd w:val="clear" w:color="auto" w:fill="F2F2F2"/>
          </w:tcPr>
          <w:p>
            <w:r>
              <w:rPr>
                <w:sz w:val="18"/>
              </w:rPr>
              <w:t>RM 50 (lead value estimate)</w:t>
            </w:r>
          </w:p>
        </w:tc>
      </w:tr>
      <w:tr>
        <w:tc>
          <w:tcPr>
            <w:tcW w:type="dxa" w:w="3041"/>
            <w:shd w:val="clear" w:color="auto" w:fill="FFFFFF"/>
          </w:tcPr>
          <w:p>
            <w:r>
              <w:rPr>
                <w:sz w:val="18"/>
              </w:rPr>
              <w:t>Form submission</w:t>
            </w:r>
          </w:p>
        </w:tc>
        <w:tc>
          <w:tcPr>
            <w:tcW w:type="dxa" w:w="3041"/>
            <w:shd w:val="clear" w:color="auto" w:fill="FFFFFF"/>
          </w:tcPr>
          <w:p>
            <w:r>
              <w:rPr>
                <w:sz w:val="18"/>
              </w:rPr>
              <w:t>Google Ads conversion tag on thank-you page</w:t>
            </w:r>
          </w:p>
        </w:tc>
        <w:tc>
          <w:tcPr>
            <w:tcW w:type="dxa" w:w="3041"/>
            <w:shd w:val="clear" w:color="auto" w:fill="FFFFFF"/>
          </w:tcPr>
          <w:p>
            <w:r>
              <w:rPr>
                <w:sz w:val="18"/>
              </w:rPr>
              <w:t>RM 50</w:t>
            </w:r>
          </w:p>
        </w:tc>
      </w:tr>
      <w:tr>
        <w:tc>
          <w:tcPr>
            <w:tcW w:type="dxa" w:w="3041"/>
            <w:shd w:val="clear" w:color="auto" w:fill="F2F2F2"/>
          </w:tcPr>
          <w:p>
            <w:r>
              <w:rPr>
                <w:sz w:val="18"/>
              </w:rPr>
              <w:t>Phone call</w:t>
            </w:r>
          </w:p>
        </w:tc>
        <w:tc>
          <w:tcPr>
            <w:tcW w:type="dxa" w:w="3041"/>
            <w:shd w:val="clear" w:color="auto" w:fill="F2F2F2"/>
          </w:tcPr>
          <w:p>
            <w:r>
              <w:rPr>
                <w:sz w:val="18"/>
              </w:rPr>
              <w:t>Google forwarding number (if budget allows)</w:t>
            </w:r>
          </w:p>
        </w:tc>
        <w:tc>
          <w:tcPr>
            <w:tcW w:type="dxa" w:w="3041"/>
            <w:shd w:val="clear" w:color="auto" w:fill="F2F2F2"/>
          </w:tcPr>
          <w:p>
            <w:r>
              <w:rPr>
                <w:sz w:val="18"/>
              </w:rPr>
              <w:t>RM 50</w:t>
            </w:r>
          </w:p>
        </w:tc>
      </w:tr>
    </w:tbl>
    <w:p/>
    <w:p>
      <w:r>
        <w:rPr>
          <w:b w:val="0"/>
          <w:i w:val="0"/>
          <w:sz w:val="22"/>
        </w:rPr>
        <w:t>All conversion data feeds into Google Analytics 4 via GA4–Google Ads link, enabling ROAS calculation and bid strategy optimisation.</w:t>
      </w:r>
    </w:p>
    <w:p/>
    <w:p>
      <w:pPr>
        <w:pStyle w:val="Heading2"/>
        <w:jc w:val="left"/>
      </w:pPr>
      <w:r>
        <w:rPr>
          <w:color w:val="C0392B"/>
        </w:rPr>
        <w:t>Approval Section</w:t>
      </w:r>
    </w:p>
    <w:tbl>
      <w:tblPr>
        <w:tblStyle w:val="TableGrid"/>
        <w:tblW w:type="auto" w:w="0"/>
        <w:jc w:val="left"/>
        <w:tblLook w:firstColumn="1" w:firstRow="1" w:lastColumn="0" w:lastRow="0" w:noHBand="0" w:noVBand="1" w:val="04A0"/>
      </w:tblPr>
      <w:tblGrid>
        <w:gridCol w:w="2280"/>
        <w:gridCol w:w="2280"/>
        <w:gridCol w:w="2280"/>
        <w:gridCol w:w="2280"/>
      </w:tblGrid>
      <w:tr>
        <w:tc>
          <w:tcPr>
            <w:tcW w:type="dxa" w:w="2280"/>
            <w:shd w:val="clear" w:color="auto" w:fill="C0392B"/>
          </w:tcPr>
          <w:p>
            <w:pPr>
              <w:jc w:val="center"/>
            </w:pPr>
            <w:r>
              <w:rPr>
                <w:b/>
                <w:color w:val="FFFFFF"/>
                <w:sz w:val="18"/>
              </w:rPr>
              <w:t>Role</w:t>
            </w:r>
          </w:p>
        </w:tc>
        <w:tc>
          <w:tcPr>
            <w:tcW w:type="dxa" w:w="2280"/>
            <w:shd w:val="clear" w:color="auto" w:fill="C0392B"/>
          </w:tcPr>
          <w:p>
            <w:pPr>
              <w:jc w:val="center"/>
            </w:pPr>
            <w:r>
              <w:rPr>
                <w:b/>
                <w:color w:val="FFFFFF"/>
                <w:sz w:val="18"/>
              </w:rPr>
              <w:t>Name</w:t>
            </w:r>
          </w:p>
        </w:tc>
        <w:tc>
          <w:tcPr>
            <w:tcW w:type="dxa" w:w="2280"/>
            <w:shd w:val="clear" w:color="auto" w:fill="C0392B"/>
          </w:tcPr>
          <w:p>
            <w:pPr>
              <w:jc w:val="center"/>
            </w:pPr>
            <w:r>
              <w:rPr>
                <w:b/>
                <w:color w:val="FFFFFF"/>
                <w:sz w:val="18"/>
              </w:rPr>
              <w:t>Signature</w:t>
            </w:r>
          </w:p>
        </w:tc>
        <w:tc>
          <w:tcPr>
            <w:tcW w:type="dxa" w:w="2280"/>
            <w:shd w:val="clear" w:color="auto" w:fill="C0392B"/>
          </w:tcPr>
          <w:p>
            <w:pPr>
              <w:jc w:val="center"/>
            </w:pPr>
            <w:r>
              <w:rPr>
                <w:b/>
                <w:color w:val="FFFFFF"/>
                <w:sz w:val="18"/>
              </w:rPr>
              <w:t>Date</w:t>
            </w:r>
          </w:p>
        </w:tc>
      </w:tr>
      <w:tr>
        <w:tc>
          <w:tcPr>
            <w:tcW w:type="dxa" w:w="2280"/>
            <w:shd w:val="clear" w:color="auto" w:fill="F2F2F2"/>
          </w:tcPr>
          <w:p>
            <w:r>
              <w:rPr>
                <w:sz w:val="18"/>
              </w:rPr>
              <w:t>Prepared by</w:t>
            </w:r>
          </w:p>
        </w:tc>
        <w:tc>
          <w:tcPr>
            <w:tcW w:type="dxa" w:w="2280"/>
            <w:shd w:val="clear" w:color="auto" w:fill="F2F2F2"/>
          </w:tcPr>
          <w:p>
            <w:r>
              <w:rPr>
                <w:sz w:val="18"/>
              </w:rPr>
              <w:t>Zuriel Seong Ming Ee</w:t>
            </w:r>
          </w:p>
        </w:tc>
        <w:tc>
          <w:tcPr>
            <w:tcW w:type="dxa" w:w="2280"/>
            <w:shd w:val="clear" w:color="auto" w:fill="F2F2F2"/>
          </w:tcPr>
          <w:p>
            <w:r>
              <w:rPr>
                <w:sz w:val="18"/>
              </w:rPr>
              <w:t>___________________</w:t>
            </w:r>
          </w:p>
        </w:tc>
        <w:tc>
          <w:tcPr>
            <w:tcW w:type="dxa" w:w="2280"/>
            <w:shd w:val="clear" w:color="auto" w:fill="F2F2F2"/>
          </w:tcPr>
          <w:p>
            <w:r>
              <w:rPr>
                <w:sz w:val="18"/>
              </w:rPr>
              <w:t>___________</w:t>
            </w:r>
          </w:p>
        </w:tc>
      </w:tr>
      <w:tr>
        <w:tc>
          <w:tcPr>
            <w:tcW w:type="dxa" w:w="2280"/>
            <w:shd w:val="clear" w:color="auto" w:fill="FFFFFF"/>
          </w:tcPr>
          <w:p>
            <w:r>
              <w:rPr>
                <w:sz w:val="18"/>
              </w:rPr>
              <w:t>Reviewed by</w:t>
            </w:r>
          </w:p>
        </w:tc>
        <w:tc>
          <w:tcPr>
            <w:tcW w:type="dxa" w:w="2280"/>
            <w:shd w:val="clear" w:color="auto" w:fill="FFFFFF"/>
          </w:tcPr>
          <w:p>
            <w:r>
              <w:rPr>
                <w:sz w:val="18"/>
              </w:rPr>
              <w:t>[PPT Supervisor / Assessor — Pending]</w:t>
            </w:r>
          </w:p>
        </w:tc>
        <w:tc>
          <w:tcPr>
            <w:tcW w:type="dxa" w:w="2280"/>
            <w:shd w:val="clear" w:color="auto" w:fill="FFFFFF"/>
          </w:tcPr>
          <w:p>
            <w:r>
              <w:rPr>
                <w:sz w:val="18"/>
              </w:rPr>
              <w:t>___________________</w:t>
            </w:r>
          </w:p>
        </w:tc>
        <w:tc>
          <w:tcPr>
            <w:tcW w:type="dxa" w:w="2280"/>
            <w:shd w:val="clear" w:color="auto" w:fill="FFFFFF"/>
          </w:tcPr>
          <w:p>
            <w:r>
              <w:rPr>
                <w:sz w:val="18"/>
              </w:rPr>
              <w:t>___________</w:t>
            </w:r>
          </w:p>
        </w:tc>
      </w:tr>
      <w:tr>
        <w:tc>
          <w:tcPr>
            <w:tcW w:type="dxa" w:w="2280"/>
            <w:shd w:val="clear" w:color="auto" w:fill="F2F2F2"/>
          </w:tcPr>
          <w:p>
            <w:r>
              <w:rPr>
                <w:sz w:val="18"/>
              </w:rPr>
              <w:t>Approved by</w:t>
            </w:r>
          </w:p>
        </w:tc>
        <w:tc>
          <w:tcPr>
            <w:tcW w:type="dxa" w:w="2280"/>
            <w:shd w:val="clear" w:color="auto" w:fill="F2F2F2"/>
          </w:tcPr>
          <w:p>
            <w:r>
              <w:rPr>
                <w:sz w:val="18"/>
              </w:rPr>
              <w:t>Lee Bee Chuan</w:t>
              <w:br/>
              <w:t>Managing Director</w:t>
              <w:br/>
              <w:t>Fokus Kiara Sdn Bhd</w:t>
            </w:r>
          </w:p>
        </w:tc>
        <w:tc>
          <w:tcPr>
            <w:tcW w:type="dxa" w:w="2280"/>
            <w:shd w:val="clear" w:color="auto" w:fill="F2F2F2"/>
          </w:tcPr>
          <w:p>
            <w:r>
              <w:rPr>
                <w:sz w:val="18"/>
              </w:rPr>
              <w:t>___________________</w:t>
            </w:r>
          </w:p>
        </w:tc>
        <w:tc>
          <w:tcPr>
            <w:tcW w:type="dxa" w:w="2280"/>
            <w:shd w:val="clear" w:color="auto" w:fill="F2F2F2"/>
          </w:tcPr>
          <w:p>
            <w:r>
              <w:rPr>
                <w:sz w:val="18"/>
              </w:rPr>
              <w:t>___________</w:t>
            </w:r>
          </w:p>
        </w:tc>
      </w:tr>
    </w:tbl>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