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F3864"/>
        </w:rPr>
        <w:t>CU6 — Email Marketing</w:t>
        <w:br/>
        <w:t>Mailchimp Campaign Plan</w:t>
      </w:r>
    </w:p>
    <w:p>
      <w:pPr>
        <w:spacing w:after="40"/>
      </w:pPr>
      <w:r>
        <w:rPr>
          <w:b/>
          <w:sz w:val="20"/>
        </w:rPr>
        <w:t xml:space="preserve">Ref: </w:t>
      </w:r>
      <w:r>
        <w:rPr>
          <w:sz w:val="20"/>
        </w:rPr>
        <w:t>TVET-CU6-EMAIL-001</w:t>
      </w:r>
    </w:p>
    <w:p>
      <w:pPr>
        <w:spacing w:after="40"/>
      </w:pPr>
      <w:r>
        <w:rPr>
          <w:b/>
          <w:sz w:val="20"/>
        </w:rPr>
        <w:t xml:space="preserve">Organisation: </w:t>
      </w:r>
      <w:r>
        <w:rPr>
          <w:sz w:val="20"/>
        </w:rPr>
        <w:t>TVET Lipis — Fokus Kiara Sdn Bhd</w:t>
      </w:r>
    </w:p>
    <w:p>
      <w:pPr>
        <w:spacing w:after="40"/>
      </w:pPr>
      <w:r>
        <w:rPr>
          <w:b/>
          <w:sz w:val="20"/>
        </w:rPr>
        <w:t xml:space="preserve">Prepared by: </w:t>
      </w:r>
      <w:r>
        <w:rPr>
          <w:sz w:val="20"/>
        </w:rPr>
        <w:t>Zuriel Seong Ming Ee — Head of Sales &amp; Digital Marketing</w:t>
      </w:r>
    </w:p>
    <w:p>
      <w:pPr>
        <w:spacing w:after="40"/>
      </w:pPr>
      <w:r>
        <w:rPr>
          <w:b/>
          <w:sz w:val="20"/>
        </w:rPr>
        <w:t xml:space="preserve">Plan Date: </w:t>
      </w:r>
      <w:r>
        <w:rPr>
          <w:sz w:val="20"/>
        </w:rPr>
        <w:t>November 2024</w:t>
      </w:r>
    </w:p>
    <w:p>
      <w:pPr>
        <w:spacing w:after="40"/>
      </w:pPr>
      <w:r>
        <w:rPr>
          <w:b/>
          <w:sz w:val="20"/>
        </w:rPr>
        <w:t xml:space="preserve">Work Activities Covered: </w:t>
      </w:r>
      <w:r>
        <w:rPr>
          <w:sz w:val="20"/>
        </w:rPr>
        <w:t>WA1 (Select Email Channel), WA2 (Plan Email Campaign)</w:t>
      </w:r>
    </w:p>
    <w:p/>
    <w:p>
      <w:pPr>
        <w:pStyle w:val="Heading2"/>
        <w:jc w:val="left"/>
      </w:pPr>
      <w:r>
        <w:rPr>
          <w:color w:val="1F3864"/>
        </w:rPr>
        <w:t>1. Strategic Purpose</w:t>
      </w:r>
    </w:p>
    <w:p>
      <w:r>
        <w:rPr>
          <w:b w:val="0"/>
          <w:i w:val="0"/>
          <w:sz w:val="22"/>
        </w:rPr>
        <w:t>This plan establishes TVET Lipis's email marketing strategy via Mailchimp for lead nurturing and student retention. Email is selected as the primary asynchronous communication channel for prospects who have enquired but not enrolled, providing a drip sequence to guide them from awareness to registration. Secondary use: enrolled student communications (intake reminders, document requests).</w:t>
      </w:r>
    </w:p>
    <w:p>
      <w:pPr>
        <w:pStyle w:val="Heading2"/>
        <w:jc w:val="left"/>
      </w:pPr>
      <w:r>
        <w:rPr>
          <w:color w:val="1F3864"/>
        </w:rPr>
        <w:t>2. Platform Selection</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jc w:val="center"/>
            </w:pPr>
            <w:r>
              <w:rPr>
                <w:b/>
                <w:color w:val="FFFFFF"/>
                <w:sz w:val="18"/>
              </w:rPr>
              <w:t>Platform</w:t>
            </w:r>
          </w:p>
        </w:tc>
        <w:tc>
          <w:tcPr>
            <w:tcW w:type="dxa" w:w="1824"/>
            <w:shd w:val="clear" w:color="auto" w:fill="1F3864"/>
          </w:tcPr>
          <w:p>
            <w:pPr>
              <w:jc w:val="center"/>
            </w:pPr>
            <w:r>
              <w:rPr>
                <w:b/>
                <w:color w:val="FFFFFF"/>
                <w:sz w:val="18"/>
              </w:rPr>
              <w:t>Free Tier</w:t>
            </w:r>
          </w:p>
        </w:tc>
        <w:tc>
          <w:tcPr>
            <w:tcW w:type="dxa" w:w="1824"/>
            <w:shd w:val="clear" w:color="auto" w:fill="1F3864"/>
          </w:tcPr>
          <w:p>
            <w:pPr>
              <w:jc w:val="center"/>
            </w:pPr>
            <w:r>
              <w:rPr>
                <w:b/>
                <w:color w:val="FFFFFF"/>
                <w:sz w:val="18"/>
              </w:rPr>
              <w:t>Automation</w:t>
            </w:r>
          </w:p>
        </w:tc>
        <w:tc>
          <w:tcPr>
            <w:tcW w:type="dxa" w:w="1824"/>
            <w:shd w:val="clear" w:color="auto" w:fill="1F3864"/>
          </w:tcPr>
          <w:p>
            <w:pPr>
              <w:jc w:val="center"/>
            </w:pPr>
            <w:r>
              <w:rPr>
                <w:b/>
                <w:color w:val="FFFFFF"/>
                <w:sz w:val="18"/>
              </w:rPr>
              <w:t>Templates</w:t>
            </w:r>
          </w:p>
        </w:tc>
        <w:tc>
          <w:tcPr>
            <w:tcW w:type="dxa" w:w="1824"/>
            <w:shd w:val="clear" w:color="auto" w:fill="1F3864"/>
          </w:tcPr>
          <w:p>
            <w:pPr>
              <w:jc w:val="center"/>
            </w:pPr>
            <w:r>
              <w:rPr>
                <w:b/>
                <w:color w:val="FFFFFF"/>
                <w:sz w:val="18"/>
              </w:rPr>
              <w:t>Selected</w:t>
            </w:r>
          </w:p>
        </w:tc>
      </w:tr>
      <w:tr>
        <w:tc>
          <w:tcPr>
            <w:tcW w:type="dxa" w:w="1824"/>
            <w:shd w:val="clear" w:color="auto" w:fill="F2F2F2"/>
          </w:tcPr>
          <w:p>
            <w:r>
              <w:rPr>
                <w:sz w:val="18"/>
              </w:rPr>
              <w:t>Mailchimp</w:t>
            </w:r>
          </w:p>
        </w:tc>
        <w:tc>
          <w:tcPr>
            <w:tcW w:type="dxa" w:w="1824"/>
            <w:shd w:val="clear" w:color="auto" w:fill="F2F2F2"/>
          </w:tcPr>
          <w:p>
            <w:r>
              <w:rPr>
                <w:sz w:val="18"/>
              </w:rPr>
              <w:t>500 contacts / 1,000 sends/month</w:t>
            </w:r>
          </w:p>
        </w:tc>
        <w:tc>
          <w:tcPr>
            <w:tcW w:type="dxa" w:w="1824"/>
            <w:shd w:val="clear" w:color="auto" w:fill="F2F2F2"/>
          </w:tcPr>
          <w:p>
            <w:r>
              <w:rPr>
                <w:sz w:val="18"/>
              </w:rPr>
              <w:t>Yes (basic)</w:t>
            </w:r>
          </w:p>
        </w:tc>
        <w:tc>
          <w:tcPr>
            <w:tcW w:type="dxa" w:w="1824"/>
            <w:shd w:val="clear" w:color="auto" w:fill="F2F2F2"/>
          </w:tcPr>
          <w:p>
            <w:r>
              <w:rPr>
                <w:sz w:val="18"/>
              </w:rPr>
              <w:t>Rich library</w:t>
            </w:r>
          </w:p>
        </w:tc>
        <w:tc>
          <w:tcPr>
            <w:tcW w:type="dxa" w:w="1824"/>
            <w:shd w:val="clear" w:color="auto" w:fill="F2F2F2"/>
          </w:tcPr>
          <w:p>
            <w:r>
              <w:rPr>
                <w:sz w:val="18"/>
              </w:rPr>
              <w:t>✅ Selected</w:t>
            </w:r>
          </w:p>
        </w:tc>
      </w:tr>
      <w:tr>
        <w:tc>
          <w:tcPr>
            <w:tcW w:type="dxa" w:w="1824"/>
            <w:shd w:val="clear" w:color="auto" w:fill="FFFFFF"/>
          </w:tcPr>
          <w:p>
            <w:r>
              <w:rPr>
                <w:sz w:val="18"/>
              </w:rPr>
              <w:t>Brevo (Sendinblue)</w:t>
            </w:r>
          </w:p>
        </w:tc>
        <w:tc>
          <w:tcPr>
            <w:tcW w:type="dxa" w:w="1824"/>
            <w:shd w:val="clear" w:color="auto" w:fill="FFFFFF"/>
          </w:tcPr>
          <w:p>
            <w:r>
              <w:rPr>
                <w:sz w:val="18"/>
              </w:rPr>
              <w:t>300 emails/day unlimited contacts</w:t>
            </w:r>
          </w:p>
        </w:tc>
        <w:tc>
          <w:tcPr>
            <w:tcW w:type="dxa" w:w="1824"/>
            <w:shd w:val="clear" w:color="auto" w:fill="FFFFFF"/>
          </w:tcPr>
          <w:p>
            <w:r>
              <w:rPr>
                <w:sz w:val="18"/>
              </w:rPr>
              <w:t>Yes</w:t>
            </w:r>
          </w:p>
        </w:tc>
        <w:tc>
          <w:tcPr>
            <w:tcW w:type="dxa" w:w="1824"/>
            <w:shd w:val="clear" w:color="auto" w:fill="FFFFFF"/>
          </w:tcPr>
          <w:p>
            <w:r>
              <w:rPr>
                <w:sz w:val="18"/>
              </w:rPr>
              <w:t>Good</w:t>
            </w:r>
          </w:p>
        </w:tc>
        <w:tc>
          <w:tcPr>
            <w:tcW w:type="dxa" w:w="1824"/>
            <w:shd w:val="clear" w:color="auto" w:fill="FFFFFF"/>
          </w:tcPr>
          <w:p>
            <w:r>
              <w:rPr>
                <w:sz w:val="18"/>
              </w:rPr>
              <w:t>❌ Backup option</w:t>
            </w:r>
          </w:p>
        </w:tc>
      </w:tr>
      <w:tr>
        <w:tc>
          <w:tcPr>
            <w:tcW w:type="dxa" w:w="1824"/>
            <w:shd w:val="clear" w:color="auto" w:fill="F2F2F2"/>
          </w:tcPr>
          <w:p>
            <w:r>
              <w:rPr>
                <w:sz w:val="18"/>
              </w:rPr>
              <w:t>MailerLite</w:t>
            </w:r>
          </w:p>
        </w:tc>
        <w:tc>
          <w:tcPr>
            <w:tcW w:type="dxa" w:w="1824"/>
            <w:shd w:val="clear" w:color="auto" w:fill="F2F2F2"/>
          </w:tcPr>
          <w:p>
            <w:r>
              <w:rPr>
                <w:sz w:val="18"/>
              </w:rPr>
              <w:t>1,000 contacts / 12,000 sends/month</w:t>
            </w:r>
          </w:p>
        </w:tc>
        <w:tc>
          <w:tcPr>
            <w:tcW w:type="dxa" w:w="1824"/>
            <w:shd w:val="clear" w:color="auto" w:fill="F2F2F2"/>
          </w:tcPr>
          <w:p>
            <w:r>
              <w:rPr>
                <w:sz w:val="18"/>
              </w:rPr>
              <w:t>Yes</w:t>
            </w:r>
          </w:p>
        </w:tc>
        <w:tc>
          <w:tcPr>
            <w:tcW w:type="dxa" w:w="1824"/>
            <w:shd w:val="clear" w:color="auto" w:fill="F2F2F2"/>
          </w:tcPr>
          <w:p>
            <w:r>
              <w:rPr>
                <w:sz w:val="18"/>
              </w:rPr>
              <w:t>Good</w:t>
            </w:r>
          </w:p>
        </w:tc>
        <w:tc>
          <w:tcPr>
            <w:tcW w:type="dxa" w:w="1824"/>
            <w:shd w:val="clear" w:color="auto" w:fill="F2F2F2"/>
          </w:tcPr>
          <w:p>
            <w:r>
              <w:rPr>
                <w:sz w:val="18"/>
              </w:rPr>
              <w:t>❌ Alternative</w:t>
            </w:r>
          </w:p>
        </w:tc>
      </w:tr>
    </w:tbl>
    <w:p/>
    <w:p>
      <w:r>
        <w:rPr>
          <w:b w:val="0"/>
          <w:i w:val="0"/>
          <w:sz w:val="22"/>
        </w:rPr>
        <w:t>Mailchimp selected for its ease of use, Malay template support, and integration with Google Analytics 4 for conversion tracking.</w:t>
      </w:r>
    </w:p>
    <w:p>
      <w:pPr>
        <w:pStyle w:val="Heading2"/>
        <w:jc w:val="left"/>
      </w:pPr>
      <w:r>
        <w:rPr>
          <w:color w:val="1F3864"/>
        </w:rPr>
        <w:t>3. Audience Segmentation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sz w:val="18"/>
              </w:rPr>
              <w:t>Audience Segment</w:t>
            </w:r>
          </w:p>
        </w:tc>
        <w:tc>
          <w:tcPr>
            <w:tcW w:type="dxa" w:w="2280"/>
            <w:shd w:val="clear" w:color="auto" w:fill="1F3864"/>
          </w:tcPr>
          <w:p>
            <w:pPr>
              <w:jc w:val="center"/>
            </w:pPr>
            <w:r>
              <w:rPr>
                <w:b/>
                <w:color w:val="FFFFFF"/>
                <w:sz w:val="18"/>
              </w:rPr>
              <w:t>Source</w:t>
            </w:r>
          </w:p>
        </w:tc>
        <w:tc>
          <w:tcPr>
            <w:tcW w:type="dxa" w:w="2280"/>
            <w:shd w:val="clear" w:color="auto" w:fill="1F3864"/>
          </w:tcPr>
          <w:p>
            <w:pPr>
              <w:jc w:val="center"/>
            </w:pPr>
            <w:r>
              <w:rPr>
                <w:b/>
                <w:color w:val="FFFFFF"/>
                <w:sz w:val="18"/>
              </w:rPr>
              <w:t>Size (est.)</w:t>
            </w:r>
          </w:p>
        </w:tc>
        <w:tc>
          <w:tcPr>
            <w:tcW w:type="dxa" w:w="2280"/>
            <w:shd w:val="clear" w:color="auto" w:fill="1F3864"/>
          </w:tcPr>
          <w:p>
            <w:pPr>
              <w:jc w:val="center"/>
            </w:pPr>
            <w:r>
              <w:rPr>
                <w:b/>
                <w:color w:val="FFFFFF"/>
                <w:sz w:val="18"/>
              </w:rPr>
              <w:t>Campaign Type</w:t>
            </w:r>
          </w:p>
        </w:tc>
      </w:tr>
      <w:tr>
        <w:tc>
          <w:tcPr>
            <w:tcW w:type="dxa" w:w="2280"/>
            <w:shd w:val="clear" w:color="auto" w:fill="F2F2F2"/>
          </w:tcPr>
          <w:p>
            <w:r>
              <w:rPr>
                <w:sz w:val="18"/>
              </w:rPr>
              <w:t>Cold Leads — enquired, no reply</w:t>
            </w:r>
          </w:p>
        </w:tc>
        <w:tc>
          <w:tcPr>
            <w:tcW w:type="dxa" w:w="2280"/>
            <w:shd w:val="clear" w:color="auto" w:fill="F2F2F2"/>
          </w:tcPr>
          <w:p>
            <w:r>
              <w:rPr>
                <w:sz w:val="18"/>
              </w:rPr>
              <w:t>WhatsApp/social enquiries → email collected</w:t>
            </w:r>
          </w:p>
        </w:tc>
        <w:tc>
          <w:tcPr>
            <w:tcW w:type="dxa" w:w="2280"/>
            <w:shd w:val="clear" w:color="auto" w:fill="F2F2F2"/>
          </w:tcPr>
          <w:p>
            <w:r>
              <w:rPr>
                <w:sz w:val="18"/>
              </w:rPr>
              <w:t>~200</w:t>
            </w:r>
          </w:p>
        </w:tc>
        <w:tc>
          <w:tcPr>
            <w:tcW w:type="dxa" w:w="2280"/>
            <w:shd w:val="clear" w:color="auto" w:fill="F2F2F2"/>
          </w:tcPr>
          <w:p>
            <w:r>
              <w:rPr>
                <w:sz w:val="18"/>
              </w:rPr>
              <w:t>Drip: 5-email nurture sequence</w:t>
            </w:r>
          </w:p>
        </w:tc>
      </w:tr>
      <w:tr>
        <w:tc>
          <w:tcPr>
            <w:tcW w:type="dxa" w:w="2280"/>
            <w:shd w:val="clear" w:color="auto" w:fill="FFFFFF"/>
          </w:tcPr>
          <w:p>
            <w:r>
              <w:rPr>
                <w:sz w:val="18"/>
              </w:rPr>
              <w:t>Warm Leads — replied, not enrolled</w:t>
            </w:r>
          </w:p>
        </w:tc>
        <w:tc>
          <w:tcPr>
            <w:tcW w:type="dxa" w:w="2280"/>
            <w:shd w:val="clear" w:color="auto" w:fill="FFFFFF"/>
          </w:tcPr>
          <w:p>
            <w:r>
              <w:rPr>
                <w:sz w:val="18"/>
              </w:rPr>
              <w:t>CRM (cold leads stage)</w:t>
            </w:r>
          </w:p>
        </w:tc>
        <w:tc>
          <w:tcPr>
            <w:tcW w:type="dxa" w:w="2280"/>
            <w:shd w:val="clear" w:color="auto" w:fill="FFFFFF"/>
          </w:tcPr>
          <w:p>
            <w:r>
              <w:rPr>
                <w:sz w:val="18"/>
              </w:rPr>
              <w:t>~80</w:t>
            </w:r>
          </w:p>
        </w:tc>
        <w:tc>
          <w:tcPr>
            <w:tcW w:type="dxa" w:w="2280"/>
            <w:shd w:val="clear" w:color="auto" w:fill="FFFFFF"/>
          </w:tcPr>
          <w:p>
            <w:r>
              <w:rPr>
                <w:sz w:val="18"/>
              </w:rPr>
              <w:t>Priority drip + phone follow-up trigger</w:t>
            </w:r>
          </w:p>
        </w:tc>
      </w:tr>
      <w:tr>
        <w:tc>
          <w:tcPr>
            <w:tcW w:type="dxa" w:w="2280"/>
            <w:shd w:val="clear" w:color="auto" w:fill="F2F2F2"/>
          </w:tcPr>
          <w:p>
            <w:r>
              <w:rPr>
                <w:sz w:val="18"/>
              </w:rPr>
              <w:t>Enrolled Students (current)</w:t>
            </w:r>
          </w:p>
        </w:tc>
        <w:tc>
          <w:tcPr>
            <w:tcW w:type="dxa" w:w="2280"/>
            <w:shd w:val="clear" w:color="auto" w:fill="F2F2F2"/>
          </w:tcPr>
          <w:p>
            <w:r>
              <w:rPr>
                <w:sz w:val="18"/>
              </w:rPr>
              <w:t>CRM students table</w:t>
            </w:r>
          </w:p>
        </w:tc>
        <w:tc>
          <w:tcPr>
            <w:tcW w:type="dxa" w:w="2280"/>
            <w:shd w:val="clear" w:color="auto" w:fill="F2F2F2"/>
          </w:tcPr>
          <w:p>
            <w:r>
              <w:rPr>
                <w:sz w:val="18"/>
              </w:rPr>
              <w:t>~60</w:t>
            </w:r>
          </w:p>
        </w:tc>
        <w:tc>
          <w:tcPr>
            <w:tcW w:type="dxa" w:w="2280"/>
            <w:shd w:val="clear" w:color="auto" w:fill="F2F2F2"/>
          </w:tcPr>
          <w:p>
            <w:r>
              <w:rPr>
                <w:sz w:val="18"/>
              </w:rPr>
              <w:t>Transactional + reminders</w:t>
            </w:r>
          </w:p>
        </w:tc>
      </w:tr>
      <w:tr>
        <w:tc>
          <w:tcPr>
            <w:tcW w:type="dxa" w:w="2280"/>
            <w:shd w:val="clear" w:color="auto" w:fill="FFFFFF"/>
          </w:tcPr>
          <w:p>
            <w:r>
              <w:rPr>
                <w:sz w:val="18"/>
              </w:rPr>
              <w:t>PPT Enquiries</w:t>
            </w:r>
          </w:p>
        </w:tc>
        <w:tc>
          <w:tcPr>
            <w:tcW w:type="dxa" w:w="2280"/>
            <w:shd w:val="clear" w:color="auto" w:fill="FFFFFF"/>
          </w:tcPr>
          <w:p>
            <w:r>
              <w:rPr>
                <w:sz w:val="18"/>
              </w:rPr>
              <w:t>PPT form submissions</w:t>
            </w:r>
          </w:p>
        </w:tc>
        <w:tc>
          <w:tcPr>
            <w:tcW w:type="dxa" w:w="2280"/>
            <w:shd w:val="clear" w:color="auto" w:fill="FFFFFF"/>
          </w:tcPr>
          <w:p>
            <w:r>
              <w:rPr>
                <w:sz w:val="18"/>
              </w:rPr>
              <w:t>~40</w:t>
            </w:r>
          </w:p>
        </w:tc>
        <w:tc>
          <w:tcPr>
            <w:tcW w:type="dxa" w:w="2280"/>
            <w:shd w:val="clear" w:color="auto" w:fill="FFFFFF"/>
          </w:tcPr>
          <w:p>
            <w:r>
              <w:rPr>
                <w:sz w:val="18"/>
              </w:rPr>
              <w:t>PPT-specific drip sequence</w:t>
            </w:r>
          </w:p>
        </w:tc>
      </w:tr>
      <w:tr>
        <w:tc>
          <w:tcPr>
            <w:tcW w:type="dxa" w:w="2280"/>
            <w:shd w:val="clear" w:color="auto" w:fill="F2F2F2"/>
          </w:tcPr>
          <w:p>
            <w:r>
              <w:rPr>
                <w:sz w:val="18"/>
              </w:rPr>
              <w:t>Alumni</w:t>
            </w:r>
          </w:p>
        </w:tc>
        <w:tc>
          <w:tcPr>
            <w:tcW w:type="dxa" w:w="2280"/>
            <w:shd w:val="clear" w:color="auto" w:fill="F2F2F2"/>
          </w:tcPr>
          <w:p>
            <w:r>
              <w:rPr>
                <w:sz w:val="18"/>
              </w:rPr>
              <w:t>Graduated cohorts</w:t>
            </w:r>
          </w:p>
        </w:tc>
        <w:tc>
          <w:tcPr>
            <w:tcW w:type="dxa" w:w="2280"/>
            <w:shd w:val="clear" w:color="auto" w:fill="F2F2F2"/>
          </w:tcPr>
          <w:p>
            <w:r>
              <w:rPr>
                <w:sz w:val="18"/>
              </w:rPr>
              <w:t>~30</w:t>
            </w:r>
          </w:p>
        </w:tc>
        <w:tc>
          <w:tcPr>
            <w:tcW w:type="dxa" w:w="2280"/>
            <w:shd w:val="clear" w:color="auto" w:fill="F2F2F2"/>
          </w:tcPr>
          <w:p>
            <w:r>
              <w:rPr>
                <w:sz w:val="18"/>
              </w:rPr>
              <w:t>Referral program emails</w:t>
            </w:r>
          </w:p>
        </w:tc>
      </w:tr>
    </w:tbl>
    <w:p/>
    <w:p>
      <w:pPr>
        <w:pStyle w:val="Heading2"/>
        <w:jc w:val="left"/>
      </w:pPr>
      <w:r>
        <w:rPr>
          <w:color w:val="1F3864"/>
        </w:rPr>
        <w:t>4. Drip Sequence — Cold Lead Nurture (5 emails)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1A7A7A"/>
          </w:tcPr>
          <w:p>
            <w:pPr>
              <w:jc w:val="center"/>
            </w:pPr>
            <w:r>
              <w:rPr>
                <w:b/>
                <w:color w:val="FFFFFF"/>
                <w:sz w:val="18"/>
              </w:rPr>
              <w:t>Email</w:t>
            </w:r>
          </w:p>
        </w:tc>
        <w:tc>
          <w:tcPr>
            <w:tcW w:type="dxa" w:w="1824"/>
            <w:shd w:val="clear" w:color="auto" w:fill="1A7A7A"/>
          </w:tcPr>
          <w:p>
            <w:pPr>
              <w:jc w:val="center"/>
            </w:pPr>
            <w:r>
              <w:rPr>
                <w:b/>
                <w:color w:val="FFFFFF"/>
                <w:sz w:val="18"/>
              </w:rPr>
              <w:t>Send Day</w:t>
            </w:r>
          </w:p>
        </w:tc>
        <w:tc>
          <w:tcPr>
            <w:tcW w:type="dxa" w:w="1824"/>
            <w:shd w:val="clear" w:color="auto" w:fill="1A7A7A"/>
          </w:tcPr>
          <w:p>
            <w:pPr>
              <w:jc w:val="center"/>
            </w:pPr>
            <w:r>
              <w:rPr>
                <w:b/>
                <w:color w:val="FFFFFF"/>
                <w:sz w:val="18"/>
              </w:rPr>
              <w:t>Subject Line</w:t>
            </w:r>
          </w:p>
        </w:tc>
        <w:tc>
          <w:tcPr>
            <w:tcW w:type="dxa" w:w="1824"/>
            <w:shd w:val="clear" w:color="auto" w:fill="1A7A7A"/>
          </w:tcPr>
          <w:p>
            <w:pPr>
              <w:jc w:val="center"/>
            </w:pPr>
            <w:r>
              <w:rPr>
                <w:b/>
                <w:color w:val="FFFFFF"/>
                <w:sz w:val="18"/>
              </w:rPr>
              <w:t>Content Summary</w:t>
            </w:r>
          </w:p>
        </w:tc>
        <w:tc>
          <w:tcPr>
            <w:tcW w:type="dxa" w:w="1824"/>
            <w:shd w:val="clear" w:color="auto" w:fill="1A7A7A"/>
          </w:tcPr>
          <w:p>
            <w:pPr>
              <w:jc w:val="center"/>
            </w:pPr>
            <w:r>
              <w:rPr>
                <w:b/>
                <w:color w:val="FFFFFF"/>
                <w:sz w:val="18"/>
              </w:rPr>
              <w:t>CTA</w:t>
            </w:r>
          </w:p>
        </w:tc>
      </w:tr>
      <w:tr>
        <w:tc>
          <w:tcPr>
            <w:tcW w:type="dxa" w:w="1824"/>
            <w:shd w:val="clear" w:color="auto" w:fill="F2F2F2"/>
          </w:tcPr>
          <w:p>
            <w:r>
              <w:rPr>
                <w:sz w:val="18"/>
              </w:rPr>
              <w:t>Email 1</w:t>
            </w:r>
          </w:p>
        </w:tc>
        <w:tc>
          <w:tcPr>
            <w:tcW w:type="dxa" w:w="1824"/>
            <w:shd w:val="clear" w:color="auto" w:fill="F2F2F2"/>
          </w:tcPr>
          <w:p>
            <w:r>
              <w:rPr>
                <w:sz w:val="18"/>
              </w:rPr>
              <w:t>Day 0 (immediate)</w:t>
            </w:r>
          </w:p>
        </w:tc>
        <w:tc>
          <w:tcPr>
            <w:tcW w:type="dxa" w:w="1824"/>
            <w:shd w:val="clear" w:color="auto" w:fill="F2F2F2"/>
          </w:tcPr>
          <w:p>
            <w:r>
              <w:rPr>
                <w:sz w:val="18"/>
              </w:rPr>
              <w:t>Terima kasih kerana berminat dengan TVET Lipis!</w:t>
            </w:r>
          </w:p>
        </w:tc>
        <w:tc>
          <w:tcPr>
            <w:tcW w:type="dxa" w:w="1824"/>
            <w:shd w:val="clear" w:color="auto" w:fill="F2F2F2"/>
          </w:tcPr>
          <w:p>
            <w:r>
              <w:rPr>
                <w:sz w:val="18"/>
              </w:rPr>
              <w:t>Welcome + overview of programs + PTPK funding</w:t>
            </w:r>
          </w:p>
        </w:tc>
        <w:tc>
          <w:tcPr>
            <w:tcW w:type="dxa" w:w="1824"/>
            <w:shd w:val="clear" w:color="auto" w:fill="F2F2F2"/>
          </w:tcPr>
          <w:p>
            <w:r>
              <w:rPr>
                <w:sz w:val="18"/>
              </w:rPr>
              <w:t>Buat temujanji WhatsApp</w:t>
            </w:r>
          </w:p>
        </w:tc>
      </w:tr>
      <w:tr>
        <w:tc>
          <w:tcPr>
            <w:tcW w:type="dxa" w:w="1824"/>
            <w:shd w:val="clear" w:color="auto" w:fill="FFFFFF"/>
          </w:tcPr>
          <w:p>
            <w:r>
              <w:rPr>
                <w:sz w:val="18"/>
              </w:rPr>
              <w:t>Email 2</w:t>
            </w:r>
          </w:p>
        </w:tc>
        <w:tc>
          <w:tcPr>
            <w:tcW w:type="dxa" w:w="1824"/>
            <w:shd w:val="clear" w:color="auto" w:fill="FFFFFF"/>
          </w:tcPr>
          <w:p>
            <w:r>
              <w:rPr>
                <w:sz w:val="18"/>
              </w:rPr>
              <w:t>Day 3</w:t>
            </w:r>
          </w:p>
        </w:tc>
        <w:tc>
          <w:tcPr>
            <w:tcW w:type="dxa" w:w="1824"/>
            <w:shd w:val="clear" w:color="auto" w:fill="FFFFFF"/>
          </w:tcPr>
          <w:p>
            <w:r>
              <w:rPr>
                <w:sz w:val="18"/>
              </w:rPr>
              <w:t>Kenali Program Kami: PAKK, Multimedia, Elektrik</w:t>
            </w:r>
          </w:p>
        </w:tc>
        <w:tc>
          <w:tcPr>
            <w:tcW w:type="dxa" w:w="1824"/>
            <w:shd w:val="clear" w:color="auto" w:fill="FFFFFF"/>
          </w:tcPr>
          <w:p>
            <w:r>
              <w:rPr>
                <w:sz w:val="18"/>
              </w:rPr>
              <w:t>Program highlights + career paths + graduate stats</w:t>
            </w:r>
          </w:p>
        </w:tc>
        <w:tc>
          <w:tcPr>
            <w:tcW w:type="dxa" w:w="1824"/>
            <w:shd w:val="clear" w:color="auto" w:fill="FFFFFF"/>
          </w:tcPr>
          <w:p>
            <w:r>
              <w:rPr>
                <w:sz w:val="18"/>
              </w:rPr>
              <w:t>Lihat Program</w:t>
            </w:r>
          </w:p>
        </w:tc>
      </w:tr>
      <w:tr>
        <w:tc>
          <w:tcPr>
            <w:tcW w:type="dxa" w:w="1824"/>
            <w:shd w:val="clear" w:color="auto" w:fill="F2F2F2"/>
          </w:tcPr>
          <w:p>
            <w:r>
              <w:rPr>
                <w:sz w:val="18"/>
              </w:rPr>
              <w:t>Email 3</w:t>
            </w:r>
          </w:p>
        </w:tc>
        <w:tc>
          <w:tcPr>
            <w:tcW w:type="dxa" w:w="1824"/>
            <w:shd w:val="clear" w:color="auto" w:fill="F2F2F2"/>
          </w:tcPr>
          <w:p>
            <w:r>
              <w:rPr>
                <w:sz w:val="18"/>
              </w:rPr>
              <w:t>Day 7</w:t>
            </w:r>
          </w:p>
        </w:tc>
        <w:tc>
          <w:tcPr>
            <w:tcW w:type="dxa" w:w="1824"/>
            <w:shd w:val="clear" w:color="auto" w:fill="F2F2F2"/>
          </w:tcPr>
          <w:p>
            <w:r>
              <w:rPr>
                <w:sz w:val="18"/>
              </w:rPr>
              <w:t>Boleh belajar PERCUMA? Ini caranya (PTPK)</w:t>
            </w:r>
          </w:p>
        </w:tc>
        <w:tc>
          <w:tcPr>
            <w:tcW w:type="dxa" w:w="1824"/>
            <w:shd w:val="clear" w:color="auto" w:fill="F2F2F2"/>
          </w:tcPr>
          <w:p>
            <w:r>
              <w:rPr>
                <w:sz w:val="18"/>
              </w:rPr>
              <w:t>Detailed PTPK guide — eligibility, steps, amounts</w:t>
            </w:r>
          </w:p>
        </w:tc>
        <w:tc>
          <w:tcPr>
            <w:tcW w:type="dxa" w:w="1824"/>
            <w:shd w:val="clear" w:color="auto" w:fill="F2F2F2"/>
          </w:tcPr>
          <w:p>
            <w:r>
              <w:rPr>
                <w:sz w:val="18"/>
              </w:rPr>
              <w:t>Mohon PTPK sekarang</w:t>
            </w:r>
          </w:p>
        </w:tc>
      </w:tr>
      <w:tr>
        <w:tc>
          <w:tcPr>
            <w:tcW w:type="dxa" w:w="1824"/>
            <w:shd w:val="clear" w:color="auto" w:fill="FFFFFF"/>
          </w:tcPr>
          <w:p>
            <w:r>
              <w:rPr>
                <w:sz w:val="18"/>
              </w:rPr>
              <w:t>Email 4</w:t>
            </w:r>
          </w:p>
        </w:tc>
        <w:tc>
          <w:tcPr>
            <w:tcW w:type="dxa" w:w="1824"/>
            <w:shd w:val="clear" w:color="auto" w:fill="FFFFFF"/>
          </w:tcPr>
          <w:p>
            <w:r>
              <w:rPr>
                <w:sz w:val="18"/>
              </w:rPr>
              <w:t>Day 14</w:t>
            </w:r>
          </w:p>
        </w:tc>
        <w:tc>
          <w:tcPr>
            <w:tcW w:type="dxa" w:w="1824"/>
            <w:shd w:val="clear" w:color="auto" w:fill="FFFFFF"/>
          </w:tcPr>
          <w:p>
            <w:r>
              <w:rPr>
                <w:sz w:val="18"/>
              </w:rPr>
              <w:t>"Saya dah kerja — boleh buat DKM?" — Ya, boleh!</w:t>
            </w:r>
          </w:p>
        </w:tc>
        <w:tc>
          <w:tcPr>
            <w:tcW w:type="dxa" w:w="1824"/>
            <w:shd w:val="clear" w:color="auto" w:fill="FFFFFF"/>
          </w:tcPr>
          <w:p>
            <w:r>
              <w:rPr>
                <w:sz w:val="18"/>
              </w:rPr>
              <w:t>PPT explainer for working adults</w:t>
            </w:r>
          </w:p>
        </w:tc>
        <w:tc>
          <w:tcPr>
            <w:tcW w:type="dxa" w:w="1824"/>
            <w:shd w:val="clear" w:color="auto" w:fill="FFFFFF"/>
          </w:tcPr>
          <w:p>
            <w:r>
              <w:rPr>
                <w:sz w:val="18"/>
              </w:rPr>
              <w:t>Tanya pasal PPT</w:t>
            </w:r>
          </w:p>
        </w:tc>
      </w:tr>
      <w:tr>
        <w:tc>
          <w:tcPr>
            <w:tcW w:type="dxa" w:w="1824"/>
            <w:shd w:val="clear" w:color="auto" w:fill="F2F2F2"/>
          </w:tcPr>
          <w:p>
            <w:r>
              <w:rPr>
                <w:sz w:val="18"/>
              </w:rPr>
              <w:t>Email 5</w:t>
            </w:r>
          </w:p>
        </w:tc>
        <w:tc>
          <w:tcPr>
            <w:tcW w:type="dxa" w:w="1824"/>
            <w:shd w:val="clear" w:color="auto" w:fill="F2F2F2"/>
          </w:tcPr>
          <w:p>
            <w:r>
              <w:rPr>
                <w:sz w:val="18"/>
              </w:rPr>
              <w:t>Day 21</w:t>
            </w:r>
          </w:p>
        </w:tc>
        <w:tc>
          <w:tcPr>
            <w:tcW w:type="dxa" w:w="1824"/>
            <w:shd w:val="clear" w:color="auto" w:fill="F2F2F2"/>
          </w:tcPr>
          <w:p>
            <w:r>
              <w:rPr>
                <w:sz w:val="18"/>
              </w:rPr>
              <w:t>Intake seterusnya bermula [Date] — Slot terhad</w:t>
            </w:r>
          </w:p>
        </w:tc>
        <w:tc>
          <w:tcPr>
            <w:tcW w:type="dxa" w:w="1824"/>
            <w:shd w:val="clear" w:color="auto" w:fill="F2F2F2"/>
          </w:tcPr>
          <w:p>
            <w:r>
              <w:rPr>
                <w:sz w:val="18"/>
              </w:rPr>
              <w:t>Urgency: deadline + limited seats</w:t>
            </w:r>
          </w:p>
        </w:tc>
        <w:tc>
          <w:tcPr>
            <w:tcW w:type="dxa" w:w="1824"/>
            <w:shd w:val="clear" w:color="auto" w:fill="F2F2F2"/>
          </w:tcPr>
          <w:p>
            <w:r>
              <w:rPr>
                <w:sz w:val="18"/>
              </w:rPr>
              <w:t>Daftar Sekarang</w:t>
            </w:r>
          </w:p>
        </w:tc>
      </w:tr>
    </w:tbl>
    <w:p/>
    <w:p>
      <w:pPr>
        <w:pStyle w:val="Heading2"/>
        <w:jc w:val="left"/>
      </w:pPr>
      <w:r>
        <w:rPr>
          <w:color w:val="1F3864"/>
        </w:rPr>
        <w:t>5. Email Design Standards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18"/>
              </w:rPr>
              <w:t>Element</w:t>
            </w:r>
          </w:p>
        </w:tc>
        <w:tc>
          <w:tcPr>
            <w:tcW w:type="dxa" w:w="4561"/>
            <w:shd w:val="clear" w:color="auto" w:fill="1F3864"/>
          </w:tcPr>
          <w:p>
            <w:pPr>
              <w:jc w:val="center"/>
            </w:pPr>
            <w:r>
              <w:rPr>
                <w:b/>
                <w:color w:val="FFFFFF"/>
                <w:sz w:val="18"/>
              </w:rPr>
              <w:t>Standard</w:t>
            </w:r>
          </w:p>
        </w:tc>
      </w:tr>
      <w:tr>
        <w:tc>
          <w:tcPr>
            <w:tcW w:type="dxa" w:w="4561"/>
            <w:shd w:val="clear" w:color="auto" w:fill="F2F2F2"/>
          </w:tcPr>
          <w:p>
            <w:r>
              <w:rPr>
                <w:sz w:val="18"/>
              </w:rPr>
              <w:t>Template</w:t>
            </w:r>
          </w:p>
        </w:tc>
        <w:tc>
          <w:tcPr>
            <w:tcW w:type="dxa" w:w="4561"/>
            <w:shd w:val="clear" w:color="auto" w:fill="F2F2F2"/>
          </w:tcPr>
          <w:p>
            <w:r>
              <w:rPr>
                <w:sz w:val="18"/>
              </w:rPr>
              <w:t>Mailchimp "1-column" template; custom header with TVET Lipis logo</w:t>
            </w:r>
          </w:p>
        </w:tc>
      </w:tr>
      <w:tr>
        <w:tc>
          <w:tcPr>
            <w:tcW w:type="dxa" w:w="4561"/>
            <w:shd w:val="clear" w:color="auto" w:fill="FFFFFF"/>
          </w:tcPr>
          <w:p>
            <w:r>
              <w:rPr>
                <w:sz w:val="18"/>
              </w:rPr>
              <w:t>Colours</w:t>
            </w:r>
          </w:p>
        </w:tc>
        <w:tc>
          <w:tcPr>
            <w:tcW w:type="dxa" w:w="4561"/>
            <w:shd w:val="clear" w:color="auto" w:fill="FFFFFF"/>
          </w:tcPr>
          <w:p>
            <w:r>
              <w:rPr>
                <w:sz w:val="18"/>
              </w:rPr>
              <w:t>Gold (#D4A017) header, white body, black footer — matches website</w:t>
            </w:r>
          </w:p>
        </w:tc>
      </w:tr>
      <w:tr>
        <w:tc>
          <w:tcPr>
            <w:tcW w:type="dxa" w:w="4561"/>
            <w:shd w:val="clear" w:color="auto" w:fill="F2F2F2"/>
          </w:tcPr>
          <w:p>
            <w:r>
              <w:rPr>
                <w:sz w:val="18"/>
              </w:rPr>
              <w:t>Font</w:t>
            </w:r>
          </w:p>
        </w:tc>
        <w:tc>
          <w:tcPr>
            <w:tcW w:type="dxa" w:w="4561"/>
            <w:shd w:val="clear" w:color="auto" w:fill="F2F2F2"/>
          </w:tcPr>
          <w:p>
            <w:r>
              <w:rPr>
                <w:sz w:val="18"/>
              </w:rPr>
              <w:t>Open Sans (Mailchimp default) — mobile readable</w:t>
            </w:r>
          </w:p>
        </w:tc>
      </w:tr>
      <w:tr>
        <w:tc>
          <w:tcPr>
            <w:tcW w:type="dxa" w:w="4561"/>
            <w:shd w:val="clear" w:color="auto" w:fill="FFFFFF"/>
          </w:tcPr>
          <w:p>
            <w:r>
              <w:rPr>
                <w:sz w:val="18"/>
              </w:rPr>
              <w:t>Image ratio</w:t>
            </w:r>
          </w:p>
        </w:tc>
        <w:tc>
          <w:tcPr>
            <w:tcW w:type="dxa" w:w="4561"/>
            <w:shd w:val="clear" w:color="auto" w:fill="FFFFFF"/>
          </w:tcPr>
          <w:p>
            <w:r>
              <w:rPr>
                <w:sz w:val="18"/>
              </w:rPr>
              <w:t>Max 600px wide; all images with alt text (accessibility)</w:t>
            </w:r>
          </w:p>
        </w:tc>
      </w:tr>
      <w:tr>
        <w:tc>
          <w:tcPr>
            <w:tcW w:type="dxa" w:w="4561"/>
            <w:shd w:val="clear" w:color="auto" w:fill="F2F2F2"/>
          </w:tcPr>
          <w:p>
            <w:r>
              <w:rPr>
                <w:sz w:val="18"/>
              </w:rPr>
              <w:t>Subject line</w:t>
            </w:r>
          </w:p>
        </w:tc>
        <w:tc>
          <w:tcPr>
            <w:tcW w:type="dxa" w:w="4561"/>
            <w:shd w:val="clear" w:color="auto" w:fill="F2F2F2"/>
          </w:tcPr>
          <w:p>
            <w:r>
              <w:rPr>
                <w:sz w:val="18"/>
              </w:rPr>
              <w:t>Max 50 chars; emoji 1 max; A/B tested on first send</w:t>
            </w:r>
          </w:p>
        </w:tc>
      </w:tr>
      <w:tr>
        <w:tc>
          <w:tcPr>
            <w:tcW w:type="dxa" w:w="4561"/>
            <w:shd w:val="clear" w:color="auto" w:fill="FFFFFF"/>
          </w:tcPr>
          <w:p>
            <w:r>
              <w:rPr>
                <w:sz w:val="18"/>
              </w:rPr>
              <w:t>Preview text</w:t>
            </w:r>
          </w:p>
        </w:tc>
        <w:tc>
          <w:tcPr>
            <w:tcW w:type="dxa" w:w="4561"/>
            <w:shd w:val="clear" w:color="auto" w:fill="FFFFFF"/>
          </w:tcPr>
          <w:p>
            <w:r>
              <w:rPr>
                <w:sz w:val="18"/>
              </w:rPr>
              <w:t>100 chars max — expands subject line in mobile preview</w:t>
            </w:r>
          </w:p>
        </w:tc>
      </w:tr>
      <w:tr>
        <w:tc>
          <w:tcPr>
            <w:tcW w:type="dxa" w:w="4561"/>
            <w:shd w:val="clear" w:color="auto" w:fill="F2F2F2"/>
          </w:tcPr>
          <w:p>
            <w:r>
              <w:rPr>
                <w:sz w:val="18"/>
              </w:rPr>
              <w:t>Unsubscribe</w:t>
            </w:r>
          </w:p>
        </w:tc>
        <w:tc>
          <w:tcPr>
            <w:tcW w:type="dxa" w:w="4561"/>
            <w:shd w:val="clear" w:color="auto" w:fill="F2F2F2"/>
          </w:tcPr>
          <w:p>
            <w:r>
              <w:rPr>
                <w:sz w:val="18"/>
              </w:rPr>
              <w:t>Mailchimp auto-footer — PDPA compliant</w:t>
            </w:r>
          </w:p>
        </w:tc>
      </w:tr>
      <w:tr>
        <w:tc>
          <w:tcPr>
            <w:tcW w:type="dxa" w:w="4561"/>
            <w:shd w:val="clear" w:color="auto" w:fill="FFFFFF"/>
          </w:tcPr>
          <w:p>
            <w:r>
              <w:rPr>
                <w:sz w:val="18"/>
              </w:rPr>
              <w:t>Sender name</w:t>
            </w:r>
          </w:p>
        </w:tc>
        <w:tc>
          <w:tcPr>
            <w:tcW w:type="dxa" w:w="4561"/>
            <w:shd w:val="clear" w:color="auto" w:fill="FFFFFF"/>
          </w:tcPr>
          <w:p>
            <w:r>
              <w:rPr>
                <w:sz w:val="18"/>
              </w:rPr>
              <w:t>"TVET Lipis" from admission.tvetlipis@gmail.com</w:t>
            </w:r>
          </w:p>
        </w:tc>
      </w:tr>
    </w:tbl>
    <w:p/>
    <w:p>
      <w:pPr>
        <w:pStyle w:val="Heading2"/>
        <w:jc w:val="left"/>
      </w:pPr>
      <w:r>
        <w:rPr>
          <w:color w:val="1F3864"/>
        </w:rPr>
        <w:t>6. Management Focus — Budget &amp; Delegation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18"/>
              </w:rPr>
              <w:t>Item</w:t>
            </w:r>
          </w:p>
        </w:tc>
        <w:tc>
          <w:tcPr>
            <w:tcW w:type="dxa" w:w="3041"/>
            <w:shd w:val="clear" w:color="auto" w:fill="1F3864"/>
          </w:tcPr>
          <w:p>
            <w:pPr>
              <w:jc w:val="center"/>
            </w:pPr>
            <w:r>
              <w:rPr>
                <w:b/>
                <w:color w:val="FFFFFF"/>
                <w:sz w:val="18"/>
              </w:rPr>
              <w:t>Cost</w:t>
            </w:r>
          </w:p>
        </w:tc>
        <w:tc>
          <w:tcPr>
            <w:tcW w:type="dxa" w:w="3041"/>
            <w:shd w:val="clear" w:color="auto" w:fill="1F3864"/>
          </w:tcPr>
          <w:p>
            <w:pPr>
              <w:jc w:val="center"/>
            </w:pPr>
            <w:r>
              <w:rPr>
                <w:b/>
                <w:color w:val="FFFFFF"/>
                <w:sz w:val="18"/>
              </w:rPr>
              <w:t>Notes</w:t>
            </w:r>
          </w:p>
        </w:tc>
      </w:tr>
      <w:tr>
        <w:tc>
          <w:tcPr>
            <w:tcW w:type="dxa" w:w="3041"/>
            <w:shd w:val="clear" w:color="auto" w:fill="F2F2F2"/>
          </w:tcPr>
          <w:p>
            <w:r>
              <w:rPr>
                <w:sz w:val="18"/>
              </w:rPr>
              <w:t>Mailchimp Free plan</w:t>
            </w:r>
          </w:p>
        </w:tc>
        <w:tc>
          <w:tcPr>
            <w:tcW w:type="dxa" w:w="3041"/>
            <w:shd w:val="clear" w:color="auto" w:fill="F2F2F2"/>
          </w:tcPr>
          <w:p>
            <w:r>
              <w:rPr>
                <w:sz w:val="18"/>
              </w:rPr>
              <w:t>RM 0</w:t>
            </w:r>
          </w:p>
        </w:tc>
        <w:tc>
          <w:tcPr>
            <w:tcW w:type="dxa" w:w="3041"/>
            <w:shd w:val="clear" w:color="auto" w:fill="F2F2F2"/>
          </w:tcPr>
          <w:p>
            <w:r>
              <w:rPr>
                <w:sz w:val="18"/>
              </w:rPr>
              <w:t>Up to 500 contacts; sufficient for pilot</w:t>
            </w:r>
          </w:p>
        </w:tc>
      </w:tr>
      <w:tr>
        <w:tc>
          <w:tcPr>
            <w:tcW w:type="dxa" w:w="3041"/>
            <w:shd w:val="clear" w:color="auto" w:fill="FFFFFF"/>
          </w:tcPr>
          <w:p>
            <w:r>
              <w:rPr>
                <w:sz w:val="18"/>
              </w:rPr>
              <w:t>Email list growth ads</w:t>
            </w:r>
          </w:p>
        </w:tc>
        <w:tc>
          <w:tcPr>
            <w:tcW w:type="dxa" w:w="3041"/>
            <w:shd w:val="clear" w:color="auto" w:fill="FFFFFF"/>
          </w:tcPr>
          <w:p>
            <w:r>
              <w:rPr>
                <w:sz w:val="18"/>
              </w:rPr>
              <w:t>RM 0</w:t>
            </w:r>
          </w:p>
        </w:tc>
        <w:tc>
          <w:tcPr>
            <w:tcW w:type="dxa" w:w="3041"/>
            <w:shd w:val="clear" w:color="auto" w:fill="FFFFFF"/>
          </w:tcPr>
          <w:p>
            <w:r>
              <w:rPr>
                <w:sz w:val="18"/>
              </w:rPr>
              <w:t>Organic via website form + WhatsApp</w:t>
            </w:r>
          </w:p>
        </w:tc>
      </w:tr>
      <w:tr>
        <w:tc>
          <w:tcPr>
            <w:tcW w:type="dxa" w:w="3041"/>
            <w:shd w:val="clear" w:color="auto" w:fill="F2F2F2"/>
          </w:tcPr>
          <w:p>
            <w:r>
              <w:rPr>
                <w:sz w:val="18"/>
              </w:rPr>
              <w:t>Canva email graphics</w:t>
            </w:r>
          </w:p>
        </w:tc>
        <w:tc>
          <w:tcPr>
            <w:tcW w:type="dxa" w:w="3041"/>
            <w:shd w:val="clear" w:color="auto" w:fill="F2F2F2"/>
          </w:tcPr>
          <w:p>
            <w:r>
              <w:rPr>
                <w:sz w:val="18"/>
              </w:rPr>
              <w:t>RM 0</w:t>
            </w:r>
          </w:p>
        </w:tc>
        <w:tc>
          <w:tcPr>
            <w:tcW w:type="dxa" w:w="3041"/>
            <w:shd w:val="clear" w:color="auto" w:fill="F2F2F2"/>
          </w:tcPr>
          <w:p>
            <w:r>
              <w:rPr>
                <w:sz w:val="18"/>
              </w:rPr>
              <w:t>In-house</w:t>
            </w:r>
          </w:p>
        </w:tc>
      </w:tr>
      <w:tr>
        <w:tc>
          <w:tcPr>
            <w:tcW w:type="dxa" w:w="3041"/>
            <w:shd w:val="clear" w:color="auto" w:fill="FFFFFF"/>
          </w:tcPr>
          <w:p>
            <w:r>
              <w:rPr>
                <w:sz w:val="18"/>
              </w:rPr>
              <w:t>Mailchimp Standard (if list exceeds 500)</w:t>
            </w:r>
          </w:p>
        </w:tc>
        <w:tc>
          <w:tcPr>
            <w:tcW w:type="dxa" w:w="3041"/>
            <w:shd w:val="clear" w:color="auto" w:fill="FFFFFF"/>
          </w:tcPr>
          <w:p>
            <w:r>
              <w:rPr>
                <w:sz w:val="18"/>
              </w:rPr>
              <w:t>USD 13/mo ≈ RM 62</w:t>
            </w:r>
          </w:p>
        </w:tc>
        <w:tc>
          <w:tcPr>
            <w:tcW w:type="dxa" w:w="3041"/>
            <w:shd w:val="clear" w:color="auto" w:fill="FFFFFF"/>
          </w:tcPr>
          <w:p>
            <w:r>
              <w:rPr>
                <w:sz w:val="18"/>
              </w:rPr>
              <w:t>Budget request to management if needed</w:t>
            </w:r>
          </w:p>
        </w:tc>
      </w:tr>
    </w:tbl>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A7A7A"/>
          </w:tcPr>
          <w:p>
            <w:pPr>
              <w:jc w:val="center"/>
            </w:pPr>
            <w:r>
              <w:rPr>
                <w:b/>
                <w:color w:val="FFFFFF"/>
                <w:sz w:val="18"/>
              </w:rPr>
              <w:t>Task</w:t>
            </w:r>
          </w:p>
        </w:tc>
        <w:tc>
          <w:tcPr>
            <w:tcW w:type="dxa" w:w="3041"/>
            <w:shd w:val="clear" w:color="auto" w:fill="1A7A7A"/>
          </w:tcPr>
          <w:p>
            <w:pPr>
              <w:jc w:val="center"/>
            </w:pPr>
            <w:r>
              <w:rPr>
                <w:b/>
                <w:color w:val="FFFFFF"/>
                <w:sz w:val="18"/>
              </w:rPr>
              <w:t>Responsible</w:t>
            </w:r>
          </w:p>
        </w:tc>
        <w:tc>
          <w:tcPr>
            <w:tcW w:type="dxa" w:w="3041"/>
            <w:shd w:val="clear" w:color="auto" w:fill="1A7A7A"/>
          </w:tcPr>
          <w:p>
            <w:pPr>
              <w:jc w:val="center"/>
            </w:pPr>
            <w:r>
              <w:rPr>
                <w:b/>
                <w:color w:val="FFFFFF"/>
                <w:sz w:val="18"/>
              </w:rPr>
              <w:t>Frequency</w:t>
            </w:r>
          </w:p>
        </w:tc>
      </w:tr>
      <w:tr>
        <w:tc>
          <w:tcPr>
            <w:tcW w:type="dxa" w:w="3041"/>
            <w:shd w:val="clear" w:color="auto" w:fill="F2F2F2"/>
          </w:tcPr>
          <w:p>
            <w:r>
              <w:rPr>
                <w:sz w:val="18"/>
              </w:rPr>
              <w:t>Drip sequence writing &amp; setup</w:t>
            </w:r>
          </w:p>
        </w:tc>
        <w:tc>
          <w:tcPr>
            <w:tcW w:type="dxa" w:w="3041"/>
            <w:shd w:val="clear" w:color="auto" w:fill="F2F2F2"/>
          </w:tcPr>
          <w:p>
            <w:r>
              <w:rPr>
                <w:sz w:val="18"/>
              </w:rPr>
              <w:t>Zuriel Seong Ming Ee</w:t>
            </w:r>
          </w:p>
        </w:tc>
        <w:tc>
          <w:tcPr>
            <w:tcW w:type="dxa" w:w="3041"/>
            <w:shd w:val="clear" w:color="auto" w:fill="F2F2F2"/>
          </w:tcPr>
          <w:p>
            <w:r>
              <w:rPr>
                <w:sz w:val="18"/>
              </w:rPr>
              <w:t>One-time (Nov 2024)</w:t>
            </w:r>
          </w:p>
        </w:tc>
      </w:tr>
      <w:tr>
        <w:tc>
          <w:tcPr>
            <w:tcW w:type="dxa" w:w="3041"/>
            <w:shd w:val="clear" w:color="auto" w:fill="FFFFFF"/>
          </w:tcPr>
          <w:p>
            <w:r>
              <w:rPr>
                <w:sz w:val="18"/>
              </w:rPr>
              <w:t>Weekly broadcast (intake news)</w:t>
            </w:r>
          </w:p>
        </w:tc>
        <w:tc>
          <w:tcPr>
            <w:tcW w:type="dxa" w:w="3041"/>
            <w:shd w:val="clear" w:color="auto" w:fill="FFFFFF"/>
          </w:tcPr>
          <w:p>
            <w:r>
              <w:rPr>
                <w:sz w:val="18"/>
              </w:rPr>
              <w:t>Zuriel</w:t>
            </w:r>
          </w:p>
        </w:tc>
        <w:tc>
          <w:tcPr>
            <w:tcW w:type="dxa" w:w="3041"/>
            <w:shd w:val="clear" w:color="auto" w:fill="FFFFFF"/>
          </w:tcPr>
          <w:p>
            <w:r>
              <w:rPr>
                <w:sz w:val="18"/>
              </w:rPr>
              <w:t>Weekly (intake periods)</w:t>
            </w:r>
          </w:p>
        </w:tc>
      </w:tr>
      <w:tr>
        <w:tc>
          <w:tcPr>
            <w:tcW w:type="dxa" w:w="3041"/>
            <w:shd w:val="clear" w:color="auto" w:fill="F2F2F2"/>
          </w:tcPr>
          <w:p>
            <w:r>
              <w:rPr>
                <w:sz w:val="18"/>
              </w:rPr>
              <w:t>Audience list cleanup</w:t>
            </w:r>
          </w:p>
        </w:tc>
        <w:tc>
          <w:tcPr>
            <w:tcW w:type="dxa" w:w="3041"/>
            <w:shd w:val="clear" w:color="auto" w:fill="F2F2F2"/>
          </w:tcPr>
          <w:p>
            <w:r>
              <w:rPr>
                <w:sz w:val="18"/>
              </w:rPr>
              <w:t>Zuriel</w:t>
            </w:r>
          </w:p>
        </w:tc>
        <w:tc>
          <w:tcPr>
            <w:tcW w:type="dxa" w:w="3041"/>
            <w:shd w:val="clear" w:color="auto" w:fill="F2F2F2"/>
          </w:tcPr>
          <w:p>
            <w:r>
              <w:rPr>
                <w:sz w:val="18"/>
              </w:rPr>
              <w:t>Monthly</w:t>
            </w:r>
          </w:p>
        </w:tc>
      </w:tr>
      <w:tr>
        <w:tc>
          <w:tcPr>
            <w:tcW w:type="dxa" w:w="3041"/>
            <w:shd w:val="clear" w:color="auto" w:fill="FFFFFF"/>
          </w:tcPr>
          <w:p>
            <w:r>
              <w:rPr>
                <w:sz w:val="18"/>
              </w:rPr>
              <w:t>Performance report to management</w:t>
            </w:r>
          </w:p>
        </w:tc>
        <w:tc>
          <w:tcPr>
            <w:tcW w:type="dxa" w:w="3041"/>
            <w:shd w:val="clear" w:color="auto" w:fill="FFFFFF"/>
          </w:tcPr>
          <w:p>
            <w:r>
              <w:rPr>
                <w:sz w:val="18"/>
              </w:rPr>
              <w:t>Zuriel → Lee Bee Chuan</w:t>
            </w:r>
          </w:p>
        </w:tc>
        <w:tc>
          <w:tcPr>
            <w:tcW w:type="dxa" w:w="3041"/>
            <w:shd w:val="clear" w:color="auto" w:fill="FFFFFF"/>
          </w:tcPr>
          <w:p>
            <w:r>
              <w:rPr>
                <w:sz w:val="18"/>
              </w:rPr>
              <w:t>Monthly</w:t>
            </w:r>
          </w:p>
        </w:tc>
      </w:tr>
      <w:tr>
        <w:tc>
          <w:tcPr>
            <w:tcW w:type="dxa" w:w="3041"/>
            <w:shd w:val="clear" w:color="auto" w:fill="F2F2F2"/>
          </w:tcPr>
          <w:p>
            <w:r>
              <w:rPr>
                <w:sz w:val="18"/>
              </w:rPr>
              <w:t>A/B test review</w:t>
            </w:r>
          </w:p>
        </w:tc>
        <w:tc>
          <w:tcPr>
            <w:tcW w:type="dxa" w:w="3041"/>
            <w:shd w:val="clear" w:color="auto" w:fill="F2F2F2"/>
          </w:tcPr>
          <w:p>
            <w:r>
              <w:rPr>
                <w:sz w:val="18"/>
              </w:rPr>
              <w:t>Zuriel</w:t>
            </w:r>
          </w:p>
        </w:tc>
        <w:tc>
          <w:tcPr>
            <w:tcW w:type="dxa" w:w="3041"/>
            <w:shd w:val="clear" w:color="auto" w:fill="F2F2F2"/>
          </w:tcPr>
          <w:p>
            <w:r>
              <w:rPr>
                <w:sz w:val="18"/>
              </w:rPr>
              <w:t>Per campaign</w:t>
            </w:r>
          </w:p>
        </w:tc>
      </w:tr>
    </w:tbl>
    <w:p/>
    <w:p/>
    <w:p>
      <w:pPr>
        <w:pStyle w:val="Heading2"/>
        <w:jc w:val="left"/>
      </w:pPr>
      <w:r>
        <w:rPr>
          <w:color w:val="C0392B"/>
        </w:rPr>
        <w:t>Approval Section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C0392B"/>
          </w:tcPr>
          <w:p>
            <w:pPr>
              <w:jc w:val="center"/>
            </w:pPr>
            <w:r>
              <w:rPr>
                <w:b/>
                <w:color w:val="FFFFFF"/>
                <w:sz w:val="18"/>
              </w:rPr>
              <w:t>Role</w:t>
            </w:r>
          </w:p>
        </w:tc>
        <w:tc>
          <w:tcPr>
            <w:tcW w:type="dxa" w:w="2280"/>
            <w:shd w:val="clear" w:color="auto" w:fill="C0392B"/>
          </w:tcPr>
          <w:p>
            <w:pPr>
              <w:jc w:val="center"/>
            </w:pPr>
            <w:r>
              <w:rPr>
                <w:b/>
                <w:color w:val="FFFFFF"/>
                <w:sz w:val="18"/>
              </w:rPr>
              <w:t>Name</w:t>
            </w:r>
          </w:p>
        </w:tc>
        <w:tc>
          <w:tcPr>
            <w:tcW w:type="dxa" w:w="2280"/>
            <w:shd w:val="clear" w:color="auto" w:fill="C0392B"/>
          </w:tcPr>
          <w:p>
            <w:pPr>
              <w:jc w:val="center"/>
            </w:pPr>
            <w:r>
              <w:rPr>
                <w:b/>
                <w:color w:val="FFFFFF"/>
                <w:sz w:val="18"/>
              </w:rPr>
              <w:t>Signature</w:t>
            </w:r>
          </w:p>
        </w:tc>
        <w:tc>
          <w:tcPr>
            <w:tcW w:type="dxa" w:w="2280"/>
            <w:shd w:val="clear" w:color="auto" w:fill="C0392B"/>
          </w:tcPr>
          <w:p>
            <w:pPr>
              <w:jc w:val="center"/>
            </w:pPr>
            <w:r>
              <w:rPr>
                <w:b/>
                <w:color w:val="FFFFFF"/>
                <w:sz w:val="18"/>
              </w:rPr>
              <w:t>Date</w:t>
            </w:r>
          </w:p>
        </w:tc>
      </w:tr>
      <w:tr>
        <w:tc>
          <w:tcPr>
            <w:tcW w:type="dxa" w:w="2280"/>
            <w:shd w:val="clear" w:color="auto" w:fill="F2F2F2"/>
          </w:tcPr>
          <w:p>
            <w:r>
              <w:rPr>
                <w:sz w:val="18"/>
              </w:rPr>
              <w:t>Prepared by</w:t>
            </w:r>
          </w:p>
        </w:tc>
        <w:tc>
          <w:tcPr>
            <w:tcW w:type="dxa" w:w="2280"/>
            <w:shd w:val="clear" w:color="auto" w:fill="F2F2F2"/>
          </w:tcPr>
          <w:p>
            <w:r>
              <w:rPr>
                <w:sz w:val="18"/>
              </w:rPr>
              <w:t>Zuriel Seong Ming Ee</w:t>
            </w:r>
          </w:p>
        </w:tc>
        <w:tc>
          <w:tcPr>
            <w:tcW w:type="dxa" w:w="2280"/>
            <w:shd w:val="clear" w:color="auto" w:fill="F2F2F2"/>
          </w:tcPr>
          <w:p>
            <w:r>
              <w:rPr>
                <w:sz w:val="18"/>
              </w:rPr>
              <w:t>___________________</w:t>
            </w:r>
          </w:p>
        </w:tc>
        <w:tc>
          <w:tcPr>
            <w:tcW w:type="dxa" w:w="2280"/>
            <w:shd w:val="clear" w:color="auto" w:fill="F2F2F2"/>
          </w:tcPr>
          <w:p>
            <w:r>
              <w:rPr>
                <w:sz w:val="18"/>
              </w:rPr>
              <w:t>___________</w:t>
            </w:r>
          </w:p>
        </w:tc>
      </w:tr>
      <w:tr>
        <w:tc>
          <w:tcPr>
            <w:tcW w:type="dxa" w:w="2280"/>
            <w:shd w:val="clear" w:color="auto" w:fill="FFFFFF"/>
          </w:tcPr>
          <w:p>
            <w:r>
              <w:rPr>
                <w:sz w:val="18"/>
              </w:rPr>
              <w:t>Reviewed by</w:t>
            </w:r>
          </w:p>
        </w:tc>
        <w:tc>
          <w:tcPr>
            <w:tcW w:type="dxa" w:w="2280"/>
            <w:shd w:val="clear" w:color="auto" w:fill="FFFFFF"/>
          </w:tcPr>
          <w:p>
            <w:r>
              <w:rPr>
                <w:sz w:val="18"/>
              </w:rPr>
              <w:t>[PPT Supervisor / Assessor — Pending]</w:t>
            </w:r>
          </w:p>
        </w:tc>
        <w:tc>
          <w:tcPr>
            <w:tcW w:type="dxa" w:w="2280"/>
            <w:shd w:val="clear" w:color="auto" w:fill="FFFFFF"/>
          </w:tcPr>
          <w:p>
            <w:r>
              <w:rPr>
                <w:sz w:val="18"/>
              </w:rPr>
              <w:t>___________________</w:t>
            </w:r>
          </w:p>
        </w:tc>
        <w:tc>
          <w:tcPr>
            <w:tcW w:type="dxa" w:w="2280"/>
            <w:shd w:val="clear" w:color="auto" w:fill="FFFFFF"/>
          </w:tcPr>
          <w:p>
            <w:r>
              <w:rPr>
                <w:sz w:val="18"/>
              </w:rPr>
              <w:t>___________</w:t>
            </w:r>
          </w:p>
        </w:tc>
      </w:tr>
      <w:tr>
        <w:tc>
          <w:tcPr>
            <w:tcW w:type="dxa" w:w="2280"/>
            <w:shd w:val="clear" w:color="auto" w:fill="F2F2F2"/>
          </w:tcPr>
          <w:p>
            <w:r>
              <w:rPr>
                <w:sz w:val="18"/>
              </w:rPr>
              <w:t>Approved by</w:t>
            </w:r>
          </w:p>
        </w:tc>
        <w:tc>
          <w:tcPr>
            <w:tcW w:type="dxa" w:w="2280"/>
            <w:shd w:val="clear" w:color="auto" w:fill="F2F2F2"/>
          </w:tcPr>
          <w:p>
            <w:r>
              <w:rPr>
                <w:sz w:val="18"/>
              </w:rPr>
              <w:t>Lee Bee Chuan</w:t>
              <w:br/>
              <w:t>Managing Director</w:t>
              <w:br/>
              <w:t>Fokus Kiara Sdn Bhd</w:t>
            </w:r>
          </w:p>
        </w:tc>
        <w:tc>
          <w:tcPr>
            <w:tcW w:type="dxa" w:w="2280"/>
            <w:shd w:val="clear" w:color="auto" w:fill="F2F2F2"/>
          </w:tcPr>
          <w:p>
            <w:r>
              <w:rPr>
                <w:sz w:val="18"/>
              </w:rPr>
              <w:t>___________________</w:t>
            </w:r>
          </w:p>
        </w:tc>
        <w:tc>
          <w:tcPr>
            <w:tcW w:type="dxa" w:w="2280"/>
            <w:shd w:val="clear" w:color="auto" w:fill="F2F2F2"/>
          </w:tcPr>
          <w:p>
            <w:r>
              <w:rPr>
                <w:sz w:val="18"/>
              </w:rPr>
              <w:t>___________</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