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Kempen pemasaran media sosial telah menjadi saluran utama bagi institusi pendidikan kemahiran menjangkau bakal pelajar, khususnya bagi institusi yang beroperasi di luar kawasan bandar utama. Laporan Pengalaman Keterampilan Terdahulu (LPKT) ini mendokumentasikan pengalaman merancang, melaksana, memantau dan menilai kempen pemasaran media sosial bersepadu bagi program Diploma Kemahiran Malaysia yang dipasarkan di bawah jenama "TVET Lipis", iaitu jenama payung bagi pusat bertauliah Jabatan Pembangunan Kemahiran (K16005) di Kuala Lipis, Pahang, sepanjang Januari hingga Jun 2026. Kempen ini merangkumi penerbitan kandungan organik di TikTok, Instagram dan Facebook serta pengurusan kempen iklan berbayar Lead Generation di Meta Ads dan TikTok Ads. Pendekatan kajian tindakan berkitar PDCA digunakan sebagai kerangka pelaksanaan, manakala model RACE digunakan sebagai kerangka pengukuran prestasi. Data dikumpulkan melalui analitik platform, penyata bil rasmi platform iklan, Google Search Console dan Sistem Pengurusan Hubungan Pelanggan (CRM) institusi, serta dianalisis secara deskriptif. Dapatan menunjukkan kempen menjana 2,927,157 tontonan video dengan jangkauan audiens 2,622,406, serta 3,470 prospek dalam talian iaitu 2,336 (67.3%) melalui Meta Ads dan 1,134 (32.7%) melalui TikTok Ads. Program Pendidikan Awal Kanak-Kanak mencatatkan permintaan tertinggi dengan 1,903 prospek (54.8%), manakala taburan geografi merangkumi seluruh negara dengan Selangor, Kelantan dan Pahang sebagai penyumbang utama. Dari segi keberkesanan kos, perbelanjaan iklan keseluruhan sebanyak RM12,292.39 menghasilkan Kos Per Prospek gabungan RM3.54; TikTok Ads beroperasi pada RM2.03 berbanding Meta Ads RM4.28, iaitu 52.5% lebih rendah, sambil menyumbang 32.7% prospek daripada hanya 18.8% belanjawan. Pemantauan berkala turut membolehkan Kos Per Prospek Meta Ads diturunkan daripada RM9.65 pada Februari kepada RM3.32 menjelang April 2026, iaitu penambahbaikan 65.6%, manakala ketepatan penyasaran disahkan dengan 86.4% prospek berumur 21 tahun ke bawah. Kajian menyimpulkan bahawa strategi media sosial yang berstruktur dan berasaskan data mampu mengatasi batasan geografi institusi kemahiran luar bandar, dan mengemukakan lapan cadangan penambahbaikan dengan pelaksanaan WhatsApp Business API sebagai saluran susulan berskala sebagai keutamaan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Kos Per Prospek,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Kempen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3.6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3.7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3.8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3.9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3.10  Prospek Online Mengikut Kursus</w:t>
      </w:r>
    </w:p>
    <w:p>
      <w:pPr>
        <w:spacing w:after="200" w:before="0" w:line="360" w:lineRule="auto"/>
        <w:ind w:left="720"/>
      </w:pPr>
      <w:r>
        <w:rPr>
          <w:rFonts w:ascii="Times New Roman" w:cs="Times New Roman" w:eastAsia="Times New Roman" w:hAnsi="Times New Roman"/>
          <w:sz w:val="24"/>
          <w:szCs w:val="24"/>
        </w:rPr>
        <w:t xml:space="preserve">Jadual 3.11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3.12  Profil Demografi Prospek</w:t>
      </w:r>
    </w:p>
    <w:p>
      <w:pPr>
        <w:spacing w:after="200" w:before="0" w:line="360" w:lineRule="auto"/>
        <w:ind w:left="720"/>
      </w:pPr>
      <w:r>
        <w:rPr>
          <w:rFonts w:ascii="Times New Roman" w:cs="Times New Roman" w:eastAsia="Times New Roman" w:hAnsi="Times New Roman"/>
          <w:sz w:val="24"/>
          <w:szCs w:val="24"/>
        </w:rPr>
        <w:t xml:space="preserve">Jadual 3.13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3.14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3.15  Perbandingan Sumber Data Kos dan Prospek Kempen Meta</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Pusat pendidikan kemahiran di Kuala Lipis, Pahang beroperasi di bawah pusat bertauliah Jabatan Pembangunan Kemahiran (JPK) dengan nombor tauliah K16005, terletak di Jalan Hospital, 27200 Kuala Lipis. Pusat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Jenama Pemasaran "TVET Lipis". </w:t>
      </w:r>
      <w:r>
        <w:rPr>
          <w:rFonts w:ascii="Times New Roman" w:cs="Times New Roman" w:eastAsia="Times New Roman" w:hAnsi="Times New Roman"/>
          <w:sz w:val="24"/>
          <w:szCs w:val="24"/>
        </w:rPr>
        <w:t xml:space="preserve">"TVET Lipis" merupakan jenama pemasaran (marketing brand) dan bukan nama entiti yang berdaftar dengan JPK. Jenama ini dibangunkan secara strategik bagi menyatukan penawaran program daripada dua buah kolej di bawah satu identiti tunggal yang mudah dikenali. Keputusan menggunakan jenama payung ini diambil atas tiga pertimbangan pemasaran: pertama, nama rasmi kolej adalah panjang dan sukar diingati oleh bakal pelajar; kedua, istilah "TVET" telah dikenali secara meluas di Malaysia sebagai rujukan kepada pendidikan teknikal dan vokasional; dan ketiga, penggunaan satu jenama tunggal membolehkan usaha pemasaran media sosial ditumpukan kepada satu akaun bagi setiap platform, berbanding memecahkan jangkauan dan belanjawan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apabila kata kunci berjenama "tvet lipis" menjadi kata kunci carian organik tertinggi dengan 120 klik daripada 603 tayangan di Google (lihat seksyen 3.6), menunjukkan jenama tersebut berjaya tertanam dalam ingatan audiens sasaran. Sepanjang laporan ini, istilah "TVET Lipis" merujuk kepada jenama pemasaran tersebut, manakala urusan pentauliahan dan pensijilan kekal di bawah entiti berdaftar JPK K16005.</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SAHKAN: Rekod akaun TikTok Ads menunjukkan nama entiti "Kolej Islam Antarabangsa Cawangan Kuala Lipis". Sahkan sama ada entiti ini yang memegang tauliah JPK K16005, dan nyatakan nama rasmi kolej kedua yang turut berada di bawah jenama TVET Lipis. Maklumat ini perlu tepat kerana ia muncul di muka hadapan dan halaman pengesahan LPKT.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Metrik Facebook Organik Tidak Dikumpulkan: </w:t>
      </w:r>
      <w:r>
        <w:rPr>
          <w:rFonts w:ascii="Times New Roman" w:cs="Times New Roman" w:eastAsia="Times New Roman" w:hAnsi="Times New Roman"/>
          <w:sz w:val="24"/>
          <w:szCs w:val="24"/>
        </w:rPr>
        <w:t xml:space="preserve">Kandungan organik diterbitkan semula di halaman Facebook sebagai saluran sokongan, namun metrik prestasi halaman tersebut tidak direkodkan secara sistematik sepanjang tempoh kempen. Justeru, sumbangan Facebook organik kepada jangkauan keseluruhan tidak dapat dinilai. Facebook tetap dilaporkan sebagai penempatan iklan berbayar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ix.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(penempatan iklan)</w:t>
            </w:r>
          </w:p>
        </w:tc>
        <w:tc>
          <w:tcPr>
            <w:tcW w:type="dxa" w:w="4960"/>
          </w:tcPr>
          <w:p>
            <w:pPr>
              <w:spacing w:line="276"/>
            </w:pPr>
            <w:r>
              <w:rPr>
                <w:rFonts w:ascii="Times New Roman" w:cs="Times New Roman" w:eastAsia="Times New Roman" w:hAnsi="Times New Roman"/>
                <w:sz w:val="20"/>
                <w:szCs w:val="20"/>
              </w:rPr>
              <w:t xml:space="preserve">Digunakan sebagai penempatan Meta Ads; metrik organik halaman tidak dikumpulkan</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Kandungan diterbitkan secara berkala</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127 siaran</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Kandungan video dan gambar diterbitkan semula daripada TikTok/Instagram sebagai saluran sokongan</w:t>
            </w:r>
          </w:p>
        </w:tc>
        <w:tc>
          <w:tcPr>
            <w:tcW w:type="dxa" w:w="2360"/>
          </w:tcPr>
          <w:p>
            <w:pPr>
              <w:spacing w:line="276"/>
            </w:pPr>
            <w:r>
              <w:rPr>
                <w:rFonts w:ascii="Times New Roman" w:cs="Times New Roman" w:eastAsia="Times New Roman" w:hAnsi="Times New Roman"/>
                <w:sz w:val="20"/>
                <w:szCs w:val="20"/>
              </w:rPr>
              <w:t xml:space="preserve">Metrik tidak dikumpulkan</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Berprestasi Tertinggi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900"/>
        <w:gridCol w:w="2660"/>
      </w:tblGrid>
      <w:tr>
        <w:tc>
          <w:tcPr>
            <w:tcW w:type="dxa" w:w="48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2660"/>
            <w:shd w:fill="D9D9D9" w:color="D9D9D9" w:val="clear"/>
          </w:tcPr>
          <w:p>
            <w:pPr>
              <w:spacing w:line="276"/>
            </w:pPr>
            <w:r>
              <w:rPr>
                <w:rFonts w:ascii="Times New Roman" w:cs="Times New Roman" w:eastAsia="Times New Roman" w:hAnsi="Times New Roman"/>
                <w:b/>
                <w:bCs/>
                <w:sz w:val="20"/>
                <w:szCs w:val="20"/>
              </w:rPr>
              <w:t xml:space="preserve">Persona Disasarkan</w:t>
            </w:r>
          </w:p>
        </w:tc>
      </w:tr>
      <w:tr>
        <w:tc>
          <w:tcPr>
            <w:tcW w:type="dxa" w:w="4800"/>
          </w:tcPr>
          <w:p>
            <w:pPr>
              <w:spacing w:line="276"/>
            </w:pPr>
            <w:r>
              <w:rPr>
                <w:rFonts w:ascii="Times New Roman" w:cs="Times New Roman" w:eastAsia="Times New Roman" w:hAnsi="Times New Roman"/>
                <w:sz w:val="20"/>
                <w:szCs w:val="20"/>
              </w:rPr>
              <w:t xml:space="preserve">Ini adalah peluang kedua anda! (motivasi dan laluan kerjaya)</w:t>
            </w:r>
          </w:p>
        </w:tc>
        <w:tc>
          <w:tcPr>
            <w:tcW w:type="dxa" w:w="1900"/>
          </w:tcPr>
          <w:p>
            <w:pPr>
              <w:spacing w:line="276"/>
            </w:pPr>
            <w:r>
              <w:rPr>
                <w:rFonts w:ascii="Times New Roman" w:cs="Times New Roman" w:eastAsia="Times New Roman" w:hAnsi="Times New Roman"/>
                <w:sz w:val="20"/>
                <w:szCs w:val="20"/>
              </w:rPr>
              <w:t xml:space="preserve">3,800,000</w:t>
            </w:r>
          </w:p>
        </w:tc>
        <w:tc>
          <w:tcPr>
            <w:tcW w:type="dxa" w:w="2660"/>
          </w:tcPr>
          <w:p>
            <w:pPr>
              <w:spacing w:line="276"/>
            </w:pPr>
            <w:r>
              <w:rPr>
                <w:rFonts w:ascii="Times New Roman" w:cs="Times New Roman" w:eastAsia="Times New Roman" w:hAnsi="Times New Roman"/>
                <w:sz w:val="20"/>
                <w:szCs w:val="20"/>
              </w:rPr>
              <w:t xml:space="preserve">Persona A — lepasan sekolah</w:t>
            </w:r>
          </w:p>
        </w:tc>
      </w:tr>
      <w:tr>
        <w:tc>
          <w:tcPr>
            <w:tcW w:type="dxa" w:w="4800"/>
          </w:tcPr>
          <w:p>
            <w:pPr>
              <w:spacing w:line="276"/>
            </w:pPr>
            <w:r>
              <w:rPr>
                <w:rFonts w:ascii="Times New Roman" w:cs="Times New Roman" w:eastAsia="Times New Roman" w:hAnsi="Times New Roman"/>
                <w:sz w:val="20"/>
                <w:szCs w:val="20"/>
              </w:rPr>
              <w:t xml:space="preserve">Perhatian Kepada Ibu Bapa (maklumat program untuk penjaga)</w:t>
            </w:r>
          </w:p>
        </w:tc>
        <w:tc>
          <w:tcPr>
            <w:tcW w:type="dxa" w:w="1900"/>
          </w:tcPr>
          <w:p>
            <w:pPr>
              <w:spacing w:line="276"/>
            </w:pPr>
            <w:r>
              <w:rPr>
                <w:rFonts w:ascii="Times New Roman" w:cs="Times New Roman" w:eastAsia="Times New Roman" w:hAnsi="Times New Roman"/>
                <w:sz w:val="20"/>
                <w:szCs w:val="20"/>
              </w:rPr>
              <w:t xml:space="preserve">502,900</w:t>
            </w:r>
          </w:p>
        </w:tc>
        <w:tc>
          <w:tcPr>
            <w:tcW w:type="dxa" w:w="2660"/>
          </w:tcPr>
          <w:p>
            <w:pPr>
              <w:spacing w:line="276"/>
            </w:pPr>
            <w:r>
              <w:rPr>
                <w:rFonts w:ascii="Times New Roman" w:cs="Times New Roman" w:eastAsia="Times New Roman" w:hAnsi="Times New Roman"/>
                <w:sz w:val="20"/>
                <w:szCs w:val="20"/>
              </w:rPr>
              <w:t xml:space="preserve">Persona B — ibu bapa/penjaga</w:t>
            </w:r>
          </w:p>
        </w:tc>
      </w:tr>
      <w:tr>
        <w:tc>
          <w:tcPr>
            <w:tcW w:type="dxa" w:w="4800"/>
          </w:tcPr>
          <w:p>
            <w:pPr>
              <w:spacing w:line="276"/>
            </w:pPr>
            <w:r>
              <w:rPr>
                <w:rFonts w:ascii="Times New Roman" w:cs="Times New Roman" w:eastAsia="Times New Roman" w:hAnsi="Times New Roman"/>
                <w:sz w:val="20"/>
                <w:szCs w:val="20"/>
              </w:rPr>
              <w:t xml:space="preserve">Tempat Makan Underrated Kuala Lipis (kandungan gaya hidup tempatan)</w:t>
            </w:r>
          </w:p>
        </w:tc>
        <w:tc>
          <w:tcPr>
            <w:tcW w:type="dxa" w:w="1900"/>
          </w:tcPr>
          <w:p>
            <w:pPr>
              <w:spacing w:line="276"/>
            </w:pPr>
            <w:r>
              <w:rPr>
                <w:rFonts w:ascii="Times New Roman" w:cs="Times New Roman" w:eastAsia="Times New Roman" w:hAnsi="Times New Roman"/>
                <w:sz w:val="20"/>
                <w:szCs w:val="20"/>
              </w:rPr>
              <w:t xml:space="preserve">99,400</w:t>
            </w:r>
          </w:p>
        </w:tc>
        <w:tc>
          <w:tcPr>
            <w:tcW w:type="dxa" w:w="2660"/>
          </w:tcPr>
          <w:p>
            <w:pPr>
              <w:spacing w:line="276"/>
            </w:pPr>
            <w:r>
              <w:rPr>
                <w:rFonts w:ascii="Times New Roman" w:cs="Times New Roman" w:eastAsia="Times New Roman" w:hAnsi="Times New Roman"/>
                <w:sz w:val="20"/>
                <w:szCs w:val="20"/>
              </w:rPr>
              <w:t xml:space="preserve">Umum — kesedaran jenama</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Kempen Meta Ads</w:t>
      </w:r>
    </w:p>
    <w:p>
      <w:pPr>
        <w:spacing w:after="240" w:before="0" w:line="360" w:lineRule="auto"/>
      </w:pPr>
      <w:r>
        <w:rPr>
          <w:rFonts w:ascii="Times New Roman" w:cs="Times New Roman" w:eastAsia="Times New Roman" w:hAnsi="Times New Roman"/>
          <w:sz w:val="24"/>
          <w:szCs w:val="24"/>
        </w:rPr>
        <w:t xml:space="preserve">Meta Ads merupakan saluran iklan berbayar utama kempen ini, disampaikan merentas penempatan Facebook dan Instagram menggunakan borang Lead Generation. Kandungan organik turut diterbitkan semula di halaman Facebook sebagai saluran sokongan bagi menjangkau Persona B, namun metrik prestasi organik halaman tersebut tidak dikumpulkan secara sistematik sepanjang tempoh kempen dan tidak dilaporkan dalam LPKT ini (rujuk Limitasi Projek, seksyen 1.4).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Meta Ads Manager,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396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Jumlah Perbelanjaan Iklan</w:t>
            </w:r>
          </w:p>
        </w:tc>
        <w:tc>
          <w:tcPr>
            <w:tcW w:type="dxa" w:w="2200"/>
          </w:tcPr>
          <w:p>
            <w:pPr>
              <w:spacing w:line="276"/>
            </w:pPr>
            <w:r>
              <w:rPr>
                <w:rFonts w:ascii="Times New Roman" w:cs="Times New Roman" w:eastAsia="Times New Roman" w:hAnsi="Times New Roman"/>
                <w:sz w:val="20"/>
                <w:szCs w:val="20"/>
              </w:rPr>
              <w:t xml:space="preserve">RM8,936.21</w:t>
            </w:r>
          </w:p>
        </w:tc>
        <w:tc>
          <w:tcPr>
            <w:tcW w:type="dxa" w:w="3960"/>
          </w:tcPr>
          <w:p>
            <w:pPr>
              <w:spacing w:line="276"/>
            </w:pPr>
            <w:r>
              <w:rPr>
                <w:rFonts w:ascii="Times New Roman" w:cs="Times New Roman" w:eastAsia="Times New Roman" w:hAnsi="Times New Roman"/>
                <w:sz w:val="20"/>
                <w:szCs w:val="20"/>
              </w:rPr>
              <w:t xml:space="preserve">Kos penyampaian iklan dalam tempoh kajian</w:t>
            </w:r>
          </w:p>
        </w:tc>
      </w:tr>
      <w:tr>
        <w:tc>
          <w:tcPr>
            <w:tcW w:type="dxa" w:w="3200"/>
          </w:tcPr>
          <w:p>
            <w:pPr>
              <w:spacing w:line="276"/>
            </w:pPr>
            <w:r>
              <w:rPr>
                <w:rFonts w:ascii="Times New Roman" w:cs="Times New Roman" w:eastAsia="Times New Roman" w:hAnsi="Times New Roman"/>
                <w:sz w:val="20"/>
                <w:szCs w:val="20"/>
              </w:rPr>
              <w:t xml:space="preserve">Jangkauan Iklan (Reach)</w:t>
            </w:r>
          </w:p>
        </w:tc>
        <w:tc>
          <w:tcPr>
            <w:tcW w:type="dxa" w:w="2200"/>
          </w:tcPr>
          <w:p>
            <w:pPr>
              <w:spacing w:line="276"/>
            </w:pPr>
            <w:r>
              <w:rPr>
                <w:rFonts w:ascii="Times New Roman" w:cs="Times New Roman" w:eastAsia="Times New Roman" w:hAnsi="Times New Roman"/>
                <w:sz w:val="20"/>
                <w:szCs w:val="20"/>
              </w:rPr>
              <w:t xml:space="preserve">366,586</w:t>
            </w:r>
          </w:p>
        </w:tc>
        <w:tc>
          <w:tcPr>
            <w:tcW w:type="dxa" w:w="3960"/>
          </w:tcPr>
          <w:p>
            <w:pPr>
              <w:spacing w:line="276"/>
            </w:pPr>
            <w:r>
              <w:rPr>
                <w:rFonts w:ascii="Times New Roman" w:cs="Times New Roman" w:eastAsia="Times New Roman" w:hAnsi="Times New Roman"/>
                <w:sz w:val="20"/>
                <w:szCs w:val="20"/>
              </w:rPr>
              <w:t xml:space="preserve">Bilangan akaun unik dicapai</w:t>
            </w:r>
          </w:p>
        </w:tc>
      </w:tr>
      <w:tr>
        <w:tc>
          <w:tcPr>
            <w:tcW w:type="dxa" w:w="3200"/>
          </w:tcPr>
          <w:p>
            <w:pPr>
              <w:spacing w:line="276"/>
            </w:pPr>
            <w:r>
              <w:rPr>
                <w:rFonts w:ascii="Times New Roman" w:cs="Times New Roman" w:eastAsia="Times New Roman" w:hAnsi="Times New Roman"/>
                <w:sz w:val="20"/>
                <w:szCs w:val="20"/>
              </w:rPr>
              <w:t xml:space="preserve">Tayangan Iklan (Impressions)</w:t>
            </w:r>
          </w:p>
        </w:tc>
        <w:tc>
          <w:tcPr>
            <w:tcW w:type="dxa" w:w="2200"/>
          </w:tcPr>
          <w:p>
            <w:pPr>
              <w:spacing w:line="276"/>
            </w:pPr>
            <w:r>
              <w:rPr>
                <w:rFonts w:ascii="Times New Roman" w:cs="Times New Roman" w:eastAsia="Times New Roman" w:hAnsi="Times New Roman"/>
                <w:sz w:val="20"/>
                <w:szCs w:val="20"/>
              </w:rPr>
              <w:t xml:space="preserve">1,332,527</w:t>
            </w:r>
          </w:p>
        </w:tc>
        <w:tc>
          <w:tcPr>
            <w:tcW w:type="dxa" w:w="3960"/>
          </w:tcPr>
          <w:p>
            <w:pPr>
              <w:spacing w:line="276"/>
            </w:pPr>
            <w:r>
              <w:rPr>
                <w:rFonts w:ascii="Times New Roman" w:cs="Times New Roman" w:eastAsia="Times New Roman" w:hAnsi="Times New Roman"/>
                <w:sz w:val="20"/>
                <w:szCs w:val="20"/>
              </w:rPr>
              <w:t xml:space="preserve">Jumlah paparan iklan</w:t>
            </w:r>
          </w:p>
        </w:tc>
      </w:tr>
      <w:tr>
        <w:tc>
          <w:tcPr>
            <w:tcW w:type="dxa" w:w="3200"/>
          </w:tcPr>
          <w:p>
            <w:pPr>
              <w:spacing w:line="276"/>
            </w:pPr>
            <w:r>
              <w:rPr>
                <w:rFonts w:ascii="Times New Roman" w:cs="Times New Roman" w:eastAsia="Times New Roman" w:hAnsi="Times New Roman"/>
                <w:sz w:val="20"/>
                <w:szCs w:val="20"/>
              </w:rPr>
              <w:t xml:space="preserve">Frekuensi</w:t>
            </w:r>
          </w:p>
        </w:tc>
        <w:tc>
          <w:tcPr>
            <w:tcW w:type="dxa" w:w="2200"/>
          </w:tcPr>
          <w:p>
            <w:pPr>
              <w:spacing w:line="276"/>
            </w:pPr>
            <w:r>
              <w:rPr>
                <w:rFonts w:ascii="Times New Roman" w:cs="Times New Roman" w:eastAsia="Times New Roman" w:hAnsi="Times New Roman"/>
                <w:sz w:val="20"/>
                <w:szCs w:val="20"/>
              </w:rPr>
              <w:t xml:space="preserve">3.63</w:t>
            </w:r>
          </w:p>
        </w:tc>
        <w:tc>
          <w:tcPr>
            <w:tcW w:type="dxa" w:w="3960"/>
          </w:tcPr>
          <w:p>
            <w:pPr>
              <w:spacing w:line="276"/>
            </w:pPr>
            <w:r>
              <w:rPr>
                <w:rFonts w:ascii="Times New Roman" w:cs="Times New Roman" w:eastAsia="Times New Roman" w:hAnsi="Times New Roman"/>
                <w:sz w:val="20"/>
                <w:szCs w:val="20"/>
              </w:rPr>
              <w:t xml:space="preserve">Purata paparan bagi setiap akaun dicapai</w:t>
            </w:r>
          </w:p>
        </w:tc>
      </w:tr>
      <w:tr>
        <w:tc>
          <w:tcPr>
            <w:tcW w:type="dxa" w:w="3200"/>
          </w:tcPr>
          <w:p>
            <w:pPr>
              <w:spacing w:line="276"/>
            </w:pPr>
            <w:r>
              <w:rPr>
                <w:rFonts w:ascii="Times New Roman" w:cs="Times New Roman" w:eastAsia="Times New Roman" w:hAnsi="Times New Roman"/>
                <w:sz w:val="20"/>
                <w:szCs w:val="20"/>
              </w:rPr>
              <w:t xml:space="preserve">Bilangan Prospek (Leads Form)</w:t>
            </w:r>
          </w:p>
        </w:tc>
        <w:tc>
          <w:tcPr>
            <w:tcW w:type="dxa" w:w="2200"/>
          </w:tcPr>
          <w:p>
            <w:pPr>
              <w:spacing w:line="276"/>
            </w:pPr>
            <w:r>
              <w:rPr>
                <w:rFonts w:ascii="Times New Roman" w:cs="Times New Roman" w:eastAsia="Times New Roman" w:hAnsi="Times New Roman"/>
                <w:sz w:val="20"/>
                <w:szCs w:val="20"/>
              </w:rPr>
              <w:t xml:space="preserve">1,848</w:t>
            </w:r>
          </w:p>
        </w:tc>
        <w:tc>
          <w:tcPr>
            <w:tcW w:type="dxa" w:w="3960"/>
          </w:tcPr>
          <w:p>
            <w:pPr>
              <w:spacing w:line="276"/>
            </w:pPr>
            <w:r>
              <w:rPr>
                <w:rFonts w:ascii="Times New Roman" w:cs="Times New Roman" w:eastAsia="Times New Roman" w:hAnsi="Times New Roman"/>
                <w:sz w:val="20"/>
                <w:szCs w:val="20"/>
              </w:rPr>
              <w:t xml:space="preserve">Prospek melalui borang Lead Generation</w:t>
            </w:r>
          </w:p>
        </w:tc>
      </w:tr>
      <w:tr>
        <w:tc>
          <w:tcPr>
            <w:tcW w:type="dxa" w:w="3200"/>
          </w:tcPr>
          <w:p>
            <w:pPr>
              <w:spacing w:line="276"/>
            </w:pPr>
            <w:r>
              <w:rPr>
                <w:rFonts w:ascii="Times New Roman" w:cs="Times New Roman" w:eastAsia="Times New Roman" w:hAnsi="Times New Roman"/>
                <w:sz w:val="20"/>
                <w:szCs w:val="20"/>
              </w:rPr>
              <w:t xml:space="preserve">Kos Per Prospek (CPL)</w:t>
            </w:r>
          </w:p>
        </w:tc>
        <w:tc>
          <w:tcPr>
            <w:tcW w:type="dxa" w:w="2200"/>
          </w:tcPr>
          <w:p>
            <w:pPr>
              <w:spacing w:line="276"/>
            </w:pPr>
            <w:r>
              <w:rPr>
                <w:rFonts w:ascii="Times New Roman" w:cs="Times New Roman" w:eastAsia="Times New Roman" w:hAnsi="Times New Roman"/>
                <w:sz w:val="20"/>
                <w:szCs w:val="20"/>
              </w:rPr>
              <w:t xml:space="preserve">RM4.84</w:t>
            </w:r>
          </w:p>
        </w:tc>
        <w:tc>
          <w:tcPr>
            <w:tcW w:type="dxa" w:w="3960"/>
          </w:tcPr>
          <w:p>
            <w:pPr>
              <w:spacing w:line="276"/>
            </w:pPr>
            <w:r>
              <w:rPr>
                <w:rFonts w:ascii="Times New Roman" w:cs="Times New Roman" w:eastAsia="Times New Roman" w:hAnsi="Times New Roman"/>
                <w:sz w:val="20"/>
                <w:szCs w:val="20"/>
              </w:rPr>
              <w:t xml:space="preserve">Perbelanjaan bahagi bilangan prospek</w:t>
            </w:r>
          </w:p>
        </w:tc>
      </w:tr>
      <w:tr>
        <w:tc>
          <w:tcPr>
            <w:tcW w:type="dxa" w:w="3200"/>
          </w:tcPr>
          <w:p>
            <w:pPr>
              <w:spacing w:line="276"/>
            </w:pPr>
            <w:r>
              <w:rPr>
                <w:rFonts w:ascii="Times New Roman" w:cs="Times New Roman" w:eastAsia="Times New Roman" w:hAnsi="Times New Roman"/>
                <w:sz w:val="20"/>
                <w:szCs w:val="20"/>
              </w:rPr>
              <w:t xml:space="preserve">Kos Per Seribu Tayangan (CPM)</w:t>
            </w:r>
          </w:p>
        </w:tc>
        <w:tc>
          <w:tcPr>
            <w:tcW w:type="dxa" w:w="2200"/>
          </w:tcPr>
          <w:p>
            <w:pPr>
              <w:spacing w:line="276"/>
            </w:pPr>
            <w:r>
              <w:rPr>
                <w:rFonts w:ascii="Times New Roman" w:cs="Times New Roman" w:eastAsia="Times New Roman" w:hAnsi="Times New Roman"/>
                <w:sz w:val="20"/>
                <w:szCs w:val="20"/>
              </w:rPr>
              <w:t xml:space="preserve">RM6.71</w:t>
            </w:r>
          </w:p>
        </w:tc>
        <w:tc>
          <w:tcPr>
            <w:tcW w:type="dxa" w:w="3960"/>
          </w:tcPr>
          <w:p>
            <w:pPr>
              <w:spacing w:line="276"/>
            </w:pPr>
            <w:r>
              <w:rPr>
                <w:rFonts w:ascii="Times New Roman" w:cs="Times New Roman" w:eastAsia="Times New Roman" w:hAnsi="Times New Roman"/>
                <w:sz w:val="20"/>
                <w:szCs w:val="20"/>
              </w:rPr>
              <w:t xml:space="preserve">Perbelanjaan bahagi tayangan, didarab 1,000</w:t>
            </w:r>
          </w:p>
        </w:tc>
      </w:tr>
      <w:tr>
        <w:tc>
          <w:tcPr>
            <w:tcW w:type="dxa" w:w="3200"/>
          </w:tcPr>
          <w:p>
            <w:pPr>
              <w:spacing w:line="276"/>
            </w:pPr>
            <w:r>
              <w:rPr>
                <w:rFonts w:ascii="Times New Roman" w:cs="Times New Roman" w:eastAsia="Times New Roman" w:hAnsi="Times New Roman"/>
                <w:sz w:val="20"/>
                <w:szCs w:val="20"/>
              </w:rPr>
              <w:t xml:space="preserve">Kadar Prospek Berbanding Jangkauan</w:t>
            </w:r>
          </w:p>
        </w:tc>
        <w:tc>
          <w:tcPr>
            <w:tcW w:type="dxa" w:w="2200"/>
          </w:tcPr>
          <w:p>
            <w:pPr>
              <w:spacing w:line="276"/>
            </w:pPr>
            <w:r>
              <w:rPr>
                <w:rFonts w:ascii="Times New Roman" w:cs="Times New Roman" w:eastAsia="Times New Roman" w:hAnsi="Times New Roman"/>
                <w:sz w:val="20"/>
                <w:szCs w:val="20"/>
              </w:rPr>
              <w:t xml:space="preserve">0.50%</w:t>
            </w:r>
          </w:p>
        </w:tc>
        <w:tc>
          <w:tcPr>
            <w:tcW w:type="dxa" w:w="3960"/>
          </w:tcPr>
          <w:p>
            <w:pPr>
              <w:spacing w:line="276"/>
            </w:pPr>
            <w:r>
              <w:rPr>
                <w:rFonts w:ascii="Times New Roman" w:cs="Times New Roman" w:eastAsia="Times New Roman" w:hAnsi="Times New Roman"/>
                <w:sz w:val="20"/>
                <w:szCs w:val="20"/>
              </w:rPr>
              <w:t xml:space="preserve">Prospek bahagi jangkauan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Meta Ads menjangkau 366,586 akaun unik dengan 1,332,527 tayangan, menghasilkan frekuensi purata 3.63 iaitu setiap individu yang dicapai melihat iklan institusi kira-kira tiga hingga empat kali sepanjang tempoh kempen. Daripada jangkauan tersebut, 1,848 individu mengisi borang Lead Generation, mewakili kadar penukaran 0.50% daripada jangkauan.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Kos Per Seribu Tayangan sebanyak RM6.71 menunjukkan kos penyampaian iklan yang munasabah bagi pasaran Malaysia. Digabungkan dengan Kos Per Prospek RM4.84, angka-angka ini membentuk asas penilaian kecekapan kempen yang dihuraikan dengan lebih terperinci dalam seksyen 3.8.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corak bulanan, Meta Ads mencapai puncak pada April 2026 sebelum menurun ketara menjelang Jun 2026. Penurunan ini berlaku seiring dengan peningkatan peruntukan kepada TikTok Ads, mencerminkan keputusan pengagihan semula belanjawan berdasarkan prestasi saluran.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Google Search Console,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 ke tvetlipis.my</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Klik daripada kata kunci berjenama (3 teratas)</w:t>
            </w:r>
          </w:p>
        </w:tc>
        <w:tc>
          <w:tcPr>
            <w:tcW w:type="dxa" w:w="4360"/>
          </w:tcPr>
          <w:p>
            <w:pPr>
              <w:spacing w:line="276"/>
            </w:pPr>
            <w:r>
              <w:rPr>
                <w:rFonts w:ascii="Times New Roman" w:cs="Times New Roman" w:eastAsia="Times New Roman" w:hAnsi="Times New Roman"/>
                <w:sz w:val="20"/>
                <w:szCs w:val="20"/>
              </w:rPr>
              <w:t xml:space="preserve">160 klik (48.6% daripada jumlah)</w:t>
            </w:r>
          </w:p>
        </w:tc>
      </w:tr>
      <w:tr>
        <w:tc>
          <w:tcPr>
            <w:tcW w:type="dxa" w:w="5000"/>
          </w:tcPr>
          <w:p>
            <w:pPr>
              <w:spacing w:line="276"/>
            </w:pPr>
            <w:r>
              <w:rPr>
                <w:rFonts w:ascii="Times New Roman" w:cs="Times New Roman" w:eastAsia="Times New Roman" w:hAnsi="Times New Roman"/>
                <w:sz w:val="20"/>
                <w:szCs w:val="20"/>
              </w:rPr>
              <w:t xml:space="preserve">Tayangan bagi kata kunci berjenama (3 teratas)</w:t>
            </w:r>
          </w:p>
        </w:tc>
        <w:tc>
          <w:tcPr>
            <w:tcW w:type="dxa" w:w="4360"/>
          </w:tcPr>
          <w:p>
            <w:pPr>
              <w:spacing w:line="276"/>
            </w:pPr>
            <w:r>
              <w:rPr>
                <w:rFonts w:ascii="Times New Roman" w:cs="Times New Roman" w:eastAsia="Times New Roman" w:hAnsi="Times New Roman"/>
                <w:sz w:val="20"/>
                <w:szCs w:val="20"/>
              </w:rPr>
              <w:t xml:space="preserve">1,100 tayangan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Kata Kunci Carian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400"/>
        <w:gridCol w:w="1200"/>
        <w:gridCol w:w="2260"/>
      </w:tblGrid>
      <w:tr>
        <w:tc>
          <w:tcPr>
            <w:tcW w:type="dxa" w:w="34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1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260"/>
            <w:shd w:fill="D9D9D9" w:color="D9D9D9" w:val="clear"/>
          </w:tcPr>
          <w:p>
            <w:pPr>
              <w:spacing w:line="276"/>
            </w:pPr>
            <w:r>
              <w:rPr>
                <w:rFonts w:ascii="Times New Roman" w:cs="Times New Roman" w:eastAsia="Times New Roman" w:hAnsi="Times New Roman"/>
                <w:b/>
                <w:bCs/>
                <w:sz w:val="20"/>
                <w:szCs w:val="20"/>
              </w:rPr>
              <w:t xml:space="preserve">Jenis Kata Kunci</w:t>
            </w:r>
          </w:p>
        </w:tc>
      </w:tr>
      <w:tr>
        <w:tc>
          <w:tcPr>
            <w:tcW w:type="dxa" w:w="3400"/>
          </w:tcPr>
          <w:p>
            <w:pPr>
              <w:spacing w:line="276"/>
            </w:pPr>
            <w:r>
              <w:rPr>
                <w:rFonts w:ascii="Times New Roman" w:cs="Times New Roman" w:eastAsia="Times New Roman" w:hAnsi="Times New Roman"/>
                <w:sz w:val="20"/>
                <w:szCs w:val="20"/>
              </w:rPr>
              <w:t xml:space="preserve">tvet lipis</w:t>
            </w:r>
          </w:p>
        </w:tc>
        <w:tc>
          <w:tcPr>
            <w:tcW w:type="dxa" w:w="1100"/>
          </w:tcPr>
          <w:p>
            <w:pPr>
              <w:spacing w:line="276"/>
            </w:pPr>
            <w:r>
              <w:rPr>
                <w:rFonts w:ascii="Times New Roman" w:cs="Times New Roman" w:eastAsia="Times New Roman" w:hAnsi="Times New Roman"/>
                <w:sz w:val="20"/>
                <w:szCs w:val="20"/>
              </w:rPr>
              <w:t xml:space="preserve">120</w:t>
            </w:r>
          </w:p>
        </w:tc>
        <w:tc>
          <w:tcPr>
            <w:tcW w:type="dxa" w:w="1400"/>
          </w:tcPr>
          <w:p>
            <w:pPr>
              <w:spacing w:line="276"/>
            </w:pPr>
            <w:r>
              <w:rPr>
                <w:rFonts w:ascii="Times New Roman" w:cs="Times New Roman" w:eastAsia="Times New Roman" w:hAnsi="Times New Roman"/>
                <w:sz w:val="20"/>
                <w:szCs w:val="20"/>
              </w:rPr>
              <w:t xml:space="preserve">603</w:t>
            </w:r>
          </w:p>
        </w:tc>
        <w:tc>
          <w:tcPr>
            <w:tcW w:type="dxa" w:w="1200"/>
          </w:tcPr>
          <w:p>
            <w:pPr>
              <w:spacing w:line="276"/>
            </w:pPr>
            <w:r>
              <w:rPr>
                <w:rFonts w:ascii="Times New Roman" w:cs="Times New Roman" w:eastAsia="Times New Roman" w:hAnsi="Times New Roman"/>
                <w:sz w:val="20"/>
                <w:szCs w:val="20"/>
              </w:rPr>
              <w:t xml:space="preserve">19.9</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tvet kuala lipis</w:t>
            </w:r>
          </w:p>
        </w:tc>
        <w:tc>
          <w:tcPr>
            <w:tcW w:type="dxa" w:w="1100"/>
          </w:tcPr>
          <w:p>
            <w:pPr>
              <w:spacing w:line="276"/>
            </w:pPr>
            <w:r>
              <w:rPr>
                <w:rFonts w:ascii="Times New Roman" w:cs="Times New Roman" w:eastAsia="Times New Roman" w:hAnsi="Times New Roman"/>
                <w:sz w:val="20"/>
                <w:szCs w:val="20"/>
              </w:rPr>
              <w:t xml:space="preserve">22</w:t>
            </w:r>
          </w:p>
        </w:tc>
        <w:tc>
          <w:tcPr>
            <w:tcW w:type="dxa" w:w="1400"/>
          </w:tcPr>
          <w:p>
            <w:pPr>
              <w:spacing w:line="276"/>
            </w:pPr>
            <w:r>
              <w:rPr>
                <w:rFonts w:ascii="Times New Roman" w:cs="Times New Roman" w:eastAsia="Times New Roman" w:hAnsi="Times New Roman"/>
                <w:sz w:val="20"/>
                <w:szCs w:val="20"/>
              </w:rPr>
              <w:t xml:space="preserve">173</w:t>
            </w:r>
          </w:p>
        </w:tc>
        <w:tc>
          <w:tcPr>
            <w:tcW w:type="dxa" w:w="1200"/>
          </w:tcPr>
          <w:p>
            <w:pPr>
              <w:spacing w:line="276"/>
            </w:pPr>
            <w:r>
              <w:rPr>
                <w:rFonts w:ascii="Times New Roman" w:cs="Times New Roman" w:eastAsia="Times New Roman" w:hAnsi="Times New Roman"/>
                <w:sz w:val="20"/>
                <w:szCs w:val="20"/>
              </w:rPr>
              <w:t xml:space="preserve">12.7</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kolej islam antarabangsa kuala lipis</w:t>
            </w:r>
          </w:p>
        </w:tc>
        <w:tc>
          <w:tcPr>
            <w:tcW w:type="dxa" w:w="1100"/>
          </w:tcPr>
          <w:p>
            <w:pPr>
              <w:spacing w:line="276"/>
            </w:pPr>
            <w:r>
              <w:rPr>
                <w:rFonts w:ascii="Times New Roman" w:cs="Times New Roman" w:eastAsia="Times New Roman" w:hAnsi="Times New Roman"/>
                <w:sz w:val="20"/>
                <w:szCs w:val="20"/>
              </w:rPr>
              <w:t xml:space="preserve">18</w:t>
            </w:r>
          </w:p>
        </w:tc>
        <w:tc>
          <w:tcPr>
            <w:tcW w:type="dxa" w:w="1400"/>
          </w:tcPr>
          <w:p>
            <w:pPr>
              <w:spacing w:line="276"/>
            </w:pPr>
            <w:r>
              <w:rPr>
                <w:rFonts w:ascii="Times New Roman" w:cs="Times New Roman" w:eastAsia="Times New Roman" w:hAnsi="Times New Roman"/>
                <w:sz w:val="20"/>
                <w:szCs w:val="20"/>
              </w:rPr>
              <w:t xml:space="preserve">324</w:t>
            </w:r>
          </w:p>
        </w:tc>
        <w:tc>
          <w:tcPr>
            <w:tcW w:type="dxa" w:w="1200"/>
          </w:tcPr>
          <w:p>
            <w:pPr>
              <w:spacing w:line="276"/>
            </w:pPr>
            <w:r>
              <w:rPr>
                <w:rFonts w:ascii="Times New Roman" w:cs="Times New Roman" w:eastAsia="Times New Roman" w:hAnsi="Times New Roman"/>
                <w:sz w:val="20"/>
                <w:szCs w:val="20"/>
              </w:rPr>
              <w:t xml:space="preserve">5.6</w:t>
            </w:r>
          </w:p>
        </w:tc>
        <w:tc>
          <w:tcPr>
            <w:tcW w:type="dxa" w:w="2260"/>
          </w:tcPr>
          <w:p>
            <w:pPr>
              <w:spacing w:line="276"/>
            </w:pPr>
            <w:r>
              <w:rPr>
                <w:rFonts w:ascii="Times New Roman" w:cs="Times New Roman" w:eastAsia="Times New Roman" w:hAnsi="Times New Roman"/>
                <w:sz w:val="20"/>
                <w:szCs w:val="20"/>
              </w:rPr>
              <w:t xml:space="preserve">Berjenama (nama rasmi)</w:t>
            </w:r>
          </w:p>
        </w:tc>
      </w:tr>
      <w:tr>
        <w:tc>
          <w:tcPr>
            <w:tcW w:type="dxa" w:w="3400"/>
          </w:tcPr>
          <w:p>
            <w:pPr>
              <w:spacing w:line="276"/>
            </w:pPr>
            <w:r>
              <w:rPr>
                <w:rFonts w:ascii="Times New Roman" w:cs="Times New Roman" w:eastAsia="Times New Roman" w:hAnsi="Times New Roman"/>
                <w:sz w:val="20"/>
                <w:szCs w:val="20"/>
              </w:rPr>
              <w:t xml:space="preserve">JUMLAH</w:t>
            </w:r>
          </w:p>
        </w:tc>
        <w:tc>
          <w:tcPr>
            <w:tcW w:type="dxa" w:w="1100"/>
          </w:tcPr>
          <w:p>
            <w:pPr>
              <w:spacing w:line="276"/>
            </w:pPr>
            <w:r>
              <w:rPr>
                <w:rFonts w:ascii="Times New Roman" w:cs="Times New Roman" w:eastAsia="Times New Roman" w:hAnsi="Times New Roman"/>
                <w:sz w:val="20"/>
                <w:szCs w:val="20"/>
              </w:rPr>
              <w:t xml:space="preserve">160</w:t>
            </w:r>
          </w:p>
        </w:tc>
        <w:tc>
          <w:tcPr>
            <w:tcW w:type="dxa" w:w="1400"/>
          </w:tcPr>
          <w:p>
            <w:pPr>
              <w:spacing w:line="276"/>
            </w:pPr>
            <w:r>
              <w:rPr>
                <w:rFonts w:ascii="Times New Roman" w:cs="Times New Roman" w:eastAsia="Times New Roman" w:hAnsi="Times New Roman"/>
                <w:sz w:val="20"/>
                <w:szCs w:val="20"/>
              </w:rPr>
              <w:t xml:space="preserve">1,100</w:t>
            </w:r>
          </w:p>
        </w:tc>
        <w:tc>
          <w:tcPr>
            <w:tcW w:type="dxa" w:w="1200"/>
          </w:tcPr>
          <w:p>
            <w:pPr>
              <w:spacing w:line="276"/>
            </w:pPr>
            <w:r>
              <w:rPr>
                <w:rFonts w:ascii="Times New Roman" w:cs="Times New Roman" w:eastAsia="Times New Roman" w:hAnsi="Times New Roman"/>
                <w:sz w:val="20"/>
                <w:szCs w:val="20"/>
              </w:rPr>
              <w:t xml:space="preserve">14.5</w:t>
            </w:r>
          </w:p>
        </w:tc>
        <w:tc>
          <w:tcPr>
            <w:tcW w:type="dxa" w:w="22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kata kunci teratas merupakan kata kunci berjenama, iaitu carian yang memerlukan pengguna mengetahui nama institusi terlebih dahulu. Gabungan ketiga-tiganya menyumbang 160 klik atau 48.6% daripada keseluruhan 329 klik organik. Ini merupakan penunjuk kesedaran jenama yang kukuh, kerana pengguna tidak menemui laman web secara kebetulan melalui carian umum, sebaliknya mencari institusi secara khusus dengan nama.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Yang menarik, kata kunci jenama pemasaran "tvet lipis" (120 klik, CTR 19.9%) mencatatkan hampir tujuh kali ganda klik berbanding nama rasmi kolej (18 klik, CTR 5.6%). Ini mengesahkan keberkesanan strategi jenama payung yang dihuraikan dalam seksyen 1.1 — audiens sasaran mengenali dan mencari institusi melalui jenama pemasarannya, bukan melalui nama pentauliahan rasmi. CTR sebanyak 19.9% bagi kata kunci utama juga menunjukkan tajuk dan penerangan laman web berjaya menarik klik apabila dipaparkan dalam hasil carian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3.11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Perbandingan Sumber Data Kos dan Prospek Kempen Meta</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 dan TikTok Ads Manager</w:t>
      </w:r>
    </w:p>
    <w:p>
      <w:pPr>
        <w:spacing w:after="240" w:before="0" w:line="360" w:lineRule="auto"/>
      </w:pPr>
      <w:r>
        <w:rPr>
          <w:rFonts w:ascii="Times New Roman" w:cs="Times New Roman" w:eastAsia="Times New Roman" w:hAnsi="Times New Roman"/>
          <w:sz w:val="24"/>
          <w:szCs w:val="24"/>
        </w:rPr>
        <w:t xml:space="preserve">Tangkapan skrin Meta Ads Manager dan TikTok Ads Manager merangkumi semua kempen, prestasi set iklan, perbelanjaan dan kos per prospek.</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2026-08-17T11:12:17.992Z</dcterms:created>
  <dcterms:modified xsi:type="dcterms:W3CDTF">2026-08-17T11:12:17.993Z</dcterms:modified>
</cp:coreProperties>
</file>

<file path=docProps/custom.xml><?xml version="1.0" encoding="utf-8"?>
<Properties xmlns="http://schemas.openxmlformats.org/officeDocument/2006/custom-properties" xmlns:vt="http://schemas.openxmlformats.org/officeDocument/2006/docPropsVTypes"/>
</file>