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PROJEK</w:t>
      </w:r>
    </w:p>
    <w:p>
      <w:pPr>
        <w:spacing w:after="160" w:before="0" w:line="360" w:lineRule="auto"/>
        <w:jc w:val="center"/>
      </w:pPr>
      <w:r>
        <w:rPr>
          <w:rFonts w:ascii="Times New Roman" w:cs="Times New Roman" w:eastAsia="Times New Roman" w:hAnsi="Times New Roman"/>
          <w:b/>
          <w:bCs/>
          <w:sz w:val="28"/>
          <w:szCs w:val="28"/>
        </w:rPr>
        <w:t xml:space="preserve">DIPLOMA KEMAHIRAN MALAYSIA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PERANCANGAN DAN PELAKSANAAN KEMPEN</w:t>
      </w:r>
    </w:p>
    <w:p>
      <w:pPr>
        <w:spacing w:after="160" w:before="0" w:line="360" w:lineRule="auto"/>
        <w:jc w:val="center"/>
      </w:pPr>
      <w:r>
        <w:rPr>
          <w:rFonts w:ascii="Times New Roman" w:cs="Times New Roman" w:eastAsia="Times New Roman" w:hAnsi="Times New Roman"/>
          <w:b/>
          <w:bCs/>
          <w:sz w:val="28"/>
          <w:szCs w:val="28"/>
        </w:rPr>
        <w:t xml:space="preserve">PEMASARAN MEDIA SOSIAL BAGI MENINGKATKAN</w:t>
      </w:r>
    </w:p>
    <w:p>
      <w:pPr>
        <w:spacing w:after="160" w:before="0" w:line="360" w:lineRule="auto"/>
        <w:jc w:val="center"/>
      </w:pPr>
      <w:r>
        <w:rPr>
          <w:rFonts w:ascii="Times New Roman" w:cs="Times New Roman" w:eastAsia="Times New Roman" w:hAnsi="Times New Roman"/>
          <w:b/>
          <w:bCs/>
          <w:sz w:val="28"/>
          <w:szCs w:val="28"/>
        </w:rPr>
        <w:t xml:space="preserve">PENGAMBILAN PELAJAR BAHARU DI TVET LIPIS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ZURIEL SEONG MING EE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M731-001-4:2021</w:t>
      </w:r>
    </w:p>
    <w:p>
      <w:pPr>
        <w:spacing w:after="160" w:before="0" w:line="360" w:lineRule="auto"/>
        <w:jc w:val="center"/>
      </w:pPr>
      <w:r>
        <w:rPr>
          <w:rFonts w:ascii="Times New Roman" w:cs="Times New Roman" w:eastAsia="Times New Roman" w:hAnsi="Times New Roman"/>
          <w:b/>
          <w:bCs/>
          <w:sz w:val="28"/>
          <w:szCs w:val="28"/>
        </w:rPr>
        <w:t xml:space="preserve">DIGITAL MARKETING PLANNING</w:t>
      </w:r>
    </w:p>
    <w:p>
      <w:pPr>
        <w:spacing w:after="160" w:before="0" w:line="360" w:lineRule="auto"/>
        <w:jc w:val="center"/>
      </w:pPr>
      <w:r>
        <w:rPr>
          <w:rFonts w:ascii="Times New Roman" w:cs="Times New Roman" w:eastAsia="Times New Roman" w:hAnsi="Times New Roman"/>
          <w:b/>
          <w:bCs/>
          <w:sz w:val="28"/>
          <w:szCs w:val="28"/>
        </w:rPr>
        <w:t xml:space="preserve">AND IMPLEMENTATION</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PENGESAHAN LAPORAN PROJEK</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Adalah disahkan bahawa Laporan Pengalaman Keterampilan Terdahulu (LPKT) ini yang bertajuk "Perancangan dan Pelaksanaan Kempen Pemasaran Media Sosial bagi Meningkatkan Pengambilan Pelajar Baharu di TVET Lipis" telah disediakan oleh calon dan diperiksa sebagai memenuhi sebahagian syarat penganugerahan Diploma Kemahiran Malaysia.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Nama Calon             : ZURIEL SEONG MING EE</w:t>
      </w:r>
    </w:p>
    <w:p>
      <w:pPr>
        <w:spacing w:after="240" w:before="0" w:line="360" w:lineRule="auto"/>
        <w:jc w:val="both"/>
      </w:pPr>
      <w:r>
        <w:rPr>
          <w:rFonts w:ascii="Times New Roman" w:cs="Times New Roman" w:eastAsia="Times New Roman" w:hAnsi="Times New Roman"/>
          <w:sz w:val="24"/>
          <w:szCs w:val="24"/>
        </w:rPr>
        <w:t xml:space="preserve">No. Kad Pengenalan     : ______________________________</w:t>
      </w:r>
    </w:p>
    <w:p>
      <w:pPr>
        <w:spacing w:after="240" w:before="0" w:line="360" w:lineRule="auto"/>
        <w:jc w:val="both"/>
      </w:pPr>
      <w:r>
        <w:rPr>
          <w:rFonts w:ascii="Times New Roman" w:cs="Times New Roman" w:eastAsia="Times New Roman" w:hAnsi="Times New Roman"/>
          <w:sz w:val="24"/>
          <w:szCs w:val="24"/>
        </w:rPr>
        <w:t xml:space="preserve">Unit Kompetensi        : M731-001-4:2021-C01</w:t>
      </w:r>
    </w:p>
    <w:p>
      <w:pPr>
        <w:spacing w:after="240" w:before="0" w:line="360" w:lineRule="auto"/>
        <w:jc w:val="both"/>
      </w:pPr>
      <w:r>
        <w:rPr>
          <w:rFonts w:ascii="Times New Roman" w:cs="Times New Roman" w:eastAsia="Times New Roman" w:hAnsi="Times New Roman"/>
          <w:sz w:val="24"/>
          <w:szCs w:val="24"/>
        </w:rPr>
        <w:t xml:space="preserve">                              Implement Social Media Marketing Campaign Plan</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Disahkan oleh:</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Tandatangan            : ______________________________</w:t>
      </w:r>
    </w:p>
    <w:p>
      <w:pPr>
        <w:spacing w:after="240" w:before="0" w:line="360" w:lineRule="auto"/>
        <w:jc w:val="both"/>
      </w:pPr>
      <w:r>
        <w:rPr>
          <w:rFonts w:ascii="Times New Roman" w:cs="Times New Roman" w:eastAsia="Times New Roman" w:hAnsi="Times New Roman"/>
          <w:sz w:val="24"/>
          <w:szCs w:val="24"/>
        </w:rPr>
        <w:t xml:space="preserve">Nama                   : ______________________________</w:t>
      </w:r>
    </w:p>
    <w:p>
      <w:pPr>
        <w:spacing w:after="240" w:before="0" w:line="360" w:lineRule="auto"/>
        <w:jc w:val="both"/>
      </w:pPr>
      <w:r>
        <w:rPr>
          <w:rFonts w:ascii="Times New Roman" w:cs="Times New Roman" w:eastAsia="Times New Roman" w:hAnsi="Times New Roman"/>
          <w:sz w:val="24"/>
          <w:szCs w:val="24"/>
        </w:rPr>
        <w:t xml:space="preserve">Jawatan                : ______________________________</w:t>
      </w:r>
    </w:p>
    <w:p>
      <w:pPr>
        <w:spacing w:after="240" w:before="0" w:line="360" w:lineRule="auto"/>
        <w:jc w:val="both"/>
      </w:pPr>
      <w:r>
        <w:rPr>
          <w:rFonts w:ascii="Times New Roman" w:cs="Times New Roman" w:eastAsia="Times New Roman" w:hAnsi="Times New Roman"/>
          <w:sz w:val="24"/>
          <w:szCs w:val="24"/>
        </w:rPr>
        <w:t xml:space="preserve">Tarikh                 : ______________________________</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PENGHARGAAN</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Setinggi-tinggi penghargaan dan terima kasih diucapkan kepada pihak pengurusan TVET Lipis yang telah memberi kepercayaan dan kebenaran untuk merancang serta melaksanakan kempen pemasaran media sosial yang menjadi asas kepada Laporan Pengalaman Keterampilan Terdahulu (LPKT) ini.</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Ucapan terima kasih juga ditujukan kepada pasukan pemasaran TVET Lipis yang terlibat secara langsung dalam penghasilan kandungan, pengurusan kempen iklan dan pengendalian sistem rekod prospek sepanjang tempoh enam bulan kempen dijalankan. Kerjasama yang diberikan telah memastikan setiap aktiviti yang dirancang dapat dilaksanakan mengikut jadual.</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Penghargaan turut dirakamkan kepada Pegawai Penilai dan pihak pusat bertauliah atas bimbingan yang diberikan dalam penyediaan laporan ini, serta kepada keluarga yang sentiasa memberi sokongan sepanjang tempoh penyediaan LPKT ini.</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Semoga pengalaman dan dapatan yang didokumentasikan dalam laporan ini dapat dimanfaatkan oleh institusi pendidikan kemahiran yang lain.</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ABSTRAK</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Kempen pemasaran media sosial telah dirancang dan dilaksanakan bagi TVET Lipis sepanjang tempoh Januari hingga Jun 2026 bertujuan meningkatkan pengambilan pelajar baharu. Objektif projek ini adalah untuk merancang dan melaksanakan kempen pemasaran media sosial yang berstruktur, menganalisis jangkauan dan penglibatan audiens yang dicapai melalui kempen iklan berbayar, serta menilai keberkesanan kempen dalam menjana prospek pelajar berdasarkan bilangan prospek dan kos bagi setiap prospek. Kempen ini merangkumi penerbitan kandungan organik di TikTok, Instagram dan Facebook berpandukan kalendar kandungan yang dirancang secara bulanan, serta pengurusan kempen iklan berbayar Lead Generation di Meta Ads dan TikTok Ads. Kajian ini menggunakan kaedah kuantitatif, dengan data prestasi direkodkan secara automatik oleh analitik platform, platform pengurusan iklan dan sistem pengurusan hubungan pelanggan institusi sepanjang tempoh kempen. Hasil kajian menunjukkan kempen iklan berbayar menghasilkan 2,370,268 tayangan dan 23,056 klik, serta menjana 3,470 prospek dengan perbelanjaan iklan sebanyak RM11,267.97 iaitu kos purata RM3.25 bagi setiap prospek. Perbandingan antara platform mendapati TikTok Ads mencatatkan kos per prospek RM2.06 berbanding Meta Ads RM3.83, iaitu 46.2% lebih rendah. Sebanyak 76 pelajar telah mendaftar sepanjang tempoh tersebut, dengan 73 daripadanya atau 96.1% berpunca daripada saluran digital. Kos bagi setiap pelajar berdaftar ialah RM154.36, iaitu 69.1% lebih rendah berbanding kos sasaran pengambilan pelajar sebanyak RM500 yang ditetapkan institusi. Kesimpulannya, kempen pemasaran media sosial berjaya mencapai kesemua objektif yang ditetapkan dan terbukti merupakan kaedah pengambilan pelajar yang lebih menjimatkan berbanding kaedah rujukan sedia ada.</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ISI KANDUNGAN</w:t>
      </w:r>
    </w:p>
    <w:p>
      <w:r>
        <w:rPr>
          <w:rFonts w:ascii="Times New Roman" w:cs="Times New Roman" w:eastAsia="Times New Roman" w:hAnsi="Times New Roman"/>
          <w:sz w:val="24"/>
          <w:szCs w:val="24"/>
        </w:rPr>
        <w:t xml:space="preserve"/>
      </w:r>
    </w:p>
    <w:tbl>
      <w:tblPr>
        <w:tblW w:type="dxa" w:w="9000"/>
        <w:tblBorders>
          <w:top w:val="none"/>
          <w:left w:val="none"/>
          <w:bottom w:val="none"/>
          <w:right w:val="none"/>
          <w:insideH w:val="none"/>
          <w:insideV w:val="none"/>
        </w:tblBorders>
      </w:tblPr>
      <w:tblGrid>
        <w:gridCol w:w="7400"/>
        <w:gridCol w:w="1600"/>
      </w:tblGrid>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PERKARA</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HALAMAN</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Pengesahan Laporan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Penghargaan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ii</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Abstrak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iii</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Isi Kandungan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iv</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1     PENDAHULUAN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1.2  Penyataan Masalah</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1.3  Objektif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1.4  Skop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1.5  Kepentingan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4</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2     METODOLOGI</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5</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2.2  Kaedah Analisis</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5</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2.3  Instrumen Kajian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7</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2.4  Analisa Data</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8</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2.5  Aliran Pelaksanaan Kempen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9</w:t>
            </w:r>
          </w:p>
        </w:tc>
      </w:tr>
      <w:tr>
        <w:tc>
          <w:tcPr>
            <w:tcW w:type="dxa" w:w="7400"/>
            <w:tcBorders>
              <w:top w:val="none"/>
              <w:left w:val="none"/>
              <w:bottom w:val="none"/>
              <w:right w:val="none"/>
            </w:tcBorders>
          </w:tcPr>
          <w:p>
            <w:pPr>
              <w:spacing w:after="40" w:before="40" w:line="300"/>
              <w:ind w:left="1440"/>
            </w:pPr>
            <w:r>
              <w:rPr>
                <w:rFonts w:ascii="Times New Roman" w:cs="Times New Roman" w:eastAsia="Times New Roman" w:hAnsi="Times New Roman"/>
                <w:b w:val="false"/>
                <w:bCs w:val="false"/>
                <w:sz w:val="24"/>
                <w:szCs w:val="24"/>
              </w:rPr>
              <w:t xml:space="preserve">2.5.1  Perancangan Kalendar Kandungan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9</w:t>
            </w:r>
          </w:p>
        </w:tc>
      </w:tr>
      <w:tr>
        <w:tc>
          <w:tcPr>
            <w:tcW w:type="dxa" w:w="7400"/>
            <w:tcBorders>
              <w:top w:val="none"/>
              <w:left w:val="none"/>
              <w:bottom w:val="none"/>
              <w:right w:val="none"/>
            </w:tcBorders>
          </w:tcPr>
          <w:p>
            <w:pPr>
              <w:spacing w:after="40" w:before="40" w:line="300"/>
              <w:ind w:left="1440"/>
            </w:pPr>
            <w:r>
              <w:rPr>
                <w:rFonts w:ascii="Times New Roman" w:cs="Times New Roman" w:eastAsia="Times New Roman" w:hAnsi="Times New Roman"/>
                <w:b w:val="false"/>
                <w:bCs w:val="false"/>
                <w:sz w:val="24"/>
                <w:szCs w:val="24"/>
              </w:rPr>
              <w:t xml:space="preserve">2.5.2  Carta Alir Pelaksanaan Kempen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11</w:t>
            </w:r>
          </w:p>
        </w:tc>
      </w:tr>
      <w:tr>
        <w:tc>
          <w:tcPr>
            <w:tcW w:type="dxa" w:w="7400"/>
            <w:tcBorders>
              <w:top w:val="none"/>
              <w:left w:val="none"/>
              <w:bottom w:val="none"/>
              <w:right w:val="none"/>
            </w:tcBorders>
          </w:tcPr>
          <w:p>
            <w:pPr>
              <w:spacing w:after="40" w:before="40" w:line="300"/>
              <w:ind w:left="1440"/>
            </w:pPr>
            <w:r>
              <w:rPr>
                <w:rFonts w:ascii="Times New Roman" w:cs="Times New Roman" w:eastAsia="Times New Roman" w:hAnsi="Times New Roman"/>
                <w:b w:val="false"/>
                <w:bCs w:val="false"/>
                <w:sz w:val="24"/>
                <w:szCs w:val="24"/>
              </w:rPr>
              <w:t xml:space="preserve">2.5.3  Jadual Pelaksanaan Kempen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12</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3     PENEMUAN DAN ANALISIS</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3.1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3.2  Hasil Kajian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3.3  Analisis</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14</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4     PERBINCANGAN, CADANGAN DAN KESIMPULAN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20</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4.2  Perbincangan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20</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4.3  Cadangan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22</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4.4  Kesimpulan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23</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Rujukan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24</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Lampiran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25</w:t>
            </w:r>
          </w:p>
        </w:tc>
      </w:tr>
    </w:tbl>
    <w:p>
      <w:r>
        <w:br w:type="page"/>
      </w:r>
    </w:p>
    <w:p>
      <w:pPr>
        <w:spacing w:after="240" w:before="0"/>
        <w:jc w:val="center"/>
      </w:pPr>
      <w:r>
        <w:rPr>
          <w:rFonts w:ascii="Times New Roman" w:cs="Times New Roman" w:eastAsia="Times New Roman" w:hAnsi="Times New Roman"/>
          <w:b/>
          <w:bCs/>
          <w:sz w:val="24"/>
          <w:szCs w:val="24"/>
        </w:rPr>
        <w:t xml:space="preserve">BAB 1</w:t>
      </w:r>
    </w:p>
    <w:p>
      <w:pPr>
        <w:spacing w:after="480" w:before="0"/>
        <w:jc w:val="center"/>
      </w:pPr>
      <w:r>
        <w:rPr>
          <w:rFonts w:ascii="Times New Roman" w:cs="Times New Roman" w:eastAsia="Times New Roman" w:hAnsi="Times New Roman"/>
          <w:b/>
          <w:bCs/>
          <w:sz w:val="24"/>
          <w:szCs w:val="24"/>
        </w:rPr>
        <w:t xml:space="preserve">PENDAHULUAN</w:t>
      </w:r>
    </w:p>
    <w:p>
      <w:pPr>
        <w:spacing w:after="200" w:before="360" w:line="360" w:lineRule="auto"/>
      </w:pPr>
      <w:r>
        <w:rPr>
          <w:rFonts w:ascii="Times New Roman" w:cs="Times New Roman" w:eastAsia="Times New Roman" w:hAnsi="Times New Roman"/>
          <w:b/>
          <w:bCs/>
          <w:sz w:val="24"/>
          <w:szCs w:val="24"/>
        </w:rPr>
        <w:t xml:space="preserve">1.1  PENGENALAN</w:t>
      </w:r>
    </w:p>
    <w:p>
      <w:pPr>
        <w:spacing w:after="240" w:before="0" w:line="360" w:lineRule="auto"/>
        <w:jc w:val="both"/>
      </w:pPr>
      <w:r>
        <w:rPr>
          <w:rFonts w:ascii="Times New Roman" w:cs="Times New Roman" w:eastAsia="Times New Roman" w:hAnsi="Times New Roman"/>
          <w:sz w:val="24"/>
          <w:szCs w:val="24"/>
        </w:rPr>
        <w:t xml:space="preserve">Pemasaran media sosial merupakan elemen penting dalam usaha pengambilan pelajar baharu bagi institusi pendidikan kemahiran. Hal ini kerana bakal pelajar pada hari ini mendapatkan maklumat mengenai pilihan pengajian mereka melalui telefon pintar dan media sosial, berbanding kaedah tradisional seperti risalah cetak, iklan akhbar atau lawatan ke sekolah. Melalui media sosial, sesebuah institusi boleh menyampaikan maklumat program, kemudahan kampus dan peluang kerjaya terus kepada bakal pelajar tanpa terikat kepada jarak atau kos perjalanan. Media sosial juga membolehkan setiap perbelanjaan pemasaran diukur dengan tepat, iaitu sesuatu yang sukar dilakukan menerusi kaedah pemasaran konvensional.</w:t>
      </w:r>
    </w:p>
    <w:p>
      <w:pPr>
        <w:spacing w:after="240" w:before="0" w:line="360" w:lineRule="auto"/>
        <w:jc w:val="both"/>
      </w:pPr>
      <w:r>
        <w:rPr>
          <w:rFonts w:ascii="Times New Roman" w:cs="Times New Roman" w:eastAsia="Times New Roman" w:hAnsi="Times New Roman"/>
          <w:sz w:val="24"/>
          <w:szCs w:val="24"/>
        </w:rPr>
        <w:t xml:space="preserve">TVET Lipis merupakan sebuah pusat pendidikan kemahiran yang beroperasi di Kuala Lipis, Pahang. TVET Lipis menawarkan program Diploma Kemahiran Malaysia (DKM) dalam bidang Pendidikan Awal Kanak-Kanak, Pra-Sekolah, Multimedia dan Elektrik, dengan pembiayaan pelajar disediakan melalui skim Perbadanan Tabung Pembangunan Kemahiran (PTPK). Program-program ini disasarkan kepada lepasan sekolah yang ingin memperoleh kemahiran teknikal dan vokasional sebagai laluan kerjaya.</w:t>
      </w:r>
    </w:p>
    <w:p>
      <w:pPr>
        <w:spacing w:after="240" w:before="0" w:line="360" w:lineRule="auto"/>
        <w:jc w:val="both"/>
      </w:pPr>
      <w:r>
        <w:rPr>
          <w:rFonts w:ascii="Times New Roman" w:cs="Times New Roman" w:eastAsia="Times New Roman" w:hAnsi="Times New Roman"/>
          <w:sz w:val="24"/>
          <w:szCs w:val="24"/>
        </w:rPr>
        <w:t xml:space="preserve">Sebagai institusi yang beroperasi di sebuah bandar kecil yang jauh daripada bandar utama, TVET Lipis berdepan dengan cabaran pengambilan pelajar yang lebih besar berbanding institusi di kawasan bandar. Kaedah pemasaran konvensional seperti lawatan ke sekolah dan pameran pendidikan terikat kepada jarak fizikal dan kos perjalanan, manakala kesedaran orang ramai terhadap laluan pendidikan teknikal dan vokasional di wilayah Pantai Timur juga masih rendah berbanding laluan akademik. Media sosial dilihat sebagai saluran yang paling sesuai untuk mengatasi kedua-dua cabaran ini.</w:t>
      </w:r>
    </w:p>
    <w:p>
      <w:pPr>
        <w:spacing w:after="240" w:before="0" w:line="360" w:lineRule="auto"/>
        <w:jc w:val="both"/>
      </w:pPr>
      <w:r>
        <w:rPr>
          <w:rFonts w:ascii="Times New Roman" w:cs="Times New Roman" w:eastAsia="Times New Roman" w:hAnsi="Times New Roman"/>
          <w:sz w:val="24"/>
          <w:szCs w:val="24"/>
        </w:rPr>
        <w:t xml:space="preserve">Sepanjang bulan Januari hingga Jun 2026, satu kempen pemasaran media sosial telah dirancang dan dilaksanakan bagi TVET Lipis. Kempen ini merangkumi penerbitan kandungan organik di platform TikTok, Instagram dan Facebook, serta pengurusan kempen iklan berbayar di Meta Ads dan TikTok Ads yang menggunakan borang prospek dalam talian. Pelaksanaan kempen inilah yang menjadi asas kepada Laporan Pengalaman Keterampilan Terdahulu ini.</w:t>
      </w:r>
    </w:p>
    <w:p>
      <w:pPr>
        <w:spacing w:after="200" w:before="360" w:line="360" w:lineRule="auto"/>
      </w:pPr>
      <w:r>
        <w:rPr>
          <w:rFonts w:ascii="Times New Roman" w:cs="Times New Roman" w:eastAsia="Times New Roman" w:hAnsi="Times New Roman"/>
          <w:b/>
          <w:bCs/>
          <w:sz w:val="24"/>
          <w:szCs w:val="24"/>
        </w:rPr>
        <w:t xml:space="preserve">1.2  PENYATAAN MASALAH</w:t>
      </w:r>
    </w:p>
    <w:p>
      <w:pPr>
        <w:spacing w:after="240" w:before="0" w:line="360" w:lineRule="auto"/>
        <w:jc w:val="both"/>
      </w:pPr>
      <w:r>
        <w:rPr>
          <w:rFonts w:ascii="Times New Roman" w:cs="Times New Roman" w:eastAsia="Times New Roman" w:hAnsi="Times New Roman"/>
          <w:sz w:val="24"/>
          <w:szCs w:val="24"/>
        </w:rPr>
        <w:t xml:space="preserve">Walaupun TVET Lipis telah mempunyai kehadiran di media sosial sebelum kempen dilaksanakan, beberapa permasalahan telah dikenal pasti. Pertama, jangkauan organik kandungan adalah sangat rendah. Kandungan yang diterbitkan hanya dipaparkan kepada sebahagian kecil pengikut sedia ada, manakala peluang untuk menjangkau audiens yang lebih luas bergantung sepenuhnya kepada sama ada kandungan tersebut terpilih untuk dipaparkan pada laman For You Page (FYP) atau menjadi tular. Keadaan ini tidak boleh dijadikan asas perancangan pemasaran kerana ia tidak dapat dijangka dan tidak dapat dikawal. Kedua, aktiviti media sosial dijalankan secara tidak berstruktur, iaitu tanpa kalendar kandungan, tema yang konsisten atau sasaran audiens yang jelas, menyebabkan kandungan diterbitkan hanya pada musim pengambilan dan tidak berterusan sepanjang tahun. Ketiga, pertanyaan yang diterima daripada bakal pelajar datang secara berselerak melalui pelbagai saluran tanpa direkodkan sumbernya, menyebabkan pihak pengurusan tidak dapat menentukan platform atau kandungan yang benar-benar menghasilkan pendaftaran pelajar.</w:t>
      </w:r>
    </w:p>
    <w:p>
      <w:pPr>
        <w:spacing w:after="200" w:before="360" w:line="360" w:lineRule="auto"/>
      </w:pPr>
      <w:r>
        <w:rPr>
          <w:rFonts w:ascii="Times New Roman" w:cs="Times New Roman" w:eastAsia="Times New Roman" w:hAnsi="Times New Roman"/>
          <w:b/>
          <w:bCs/>
          <w:sz w:val="24"/>
          <w:szCs w:val="24"/>
        </w:rPr>
        <w:t xml:space="preserve">1.3  OBJEKTIF PROJEK</w:t>
      </w:r>
    </w:p>
    <w:p>
      <w:pPr>
        <w:spacing w:after="240" w:before="0" w:line="360" w:lineRule="auto"/>
        <w:jc w:val="both"/>
      </w:pPr>
      <w:r>
        <w:rPr>
          <w:rFonts w:ascii="Times New Roman" w:cs="Times New Roman" w:eastAsia="Times New Roman" w:hAnsi="Times New Roman"/>
          <w:sz w:val="24"/>
          <w:szCs w:val="24"/>
        </w:rPr>
        <w:t xml:space="preserve">Objektif projek ini bertujuan memberikan panduan yang jelas tentang apa yang ingin dicapai melalui pelaksanaan kempen pemasaran media sosial bagi TVET Lipis. Berikut adalah objektif utama projek ini:</w:t>
      </w:r>
    </w:p>
    <w:p>
      <w:pPr>
        <w:spacing w:after="200" w:before="0" w:line="360" w:lineRule="auto"/>
        <w:ind w:left="720" w:hanging="431"/>
        <w:jc w:val="both"/>
      </w:pPr>
      <w:r>
        <w:rPr>
          <w:rFonts w:ascii="Times New Roman" w:cs="Times New Roman" w:eastAsia="Times New Roman" w:hAnsi="Times New Roman"/>
          <w:sz w:val="24"/>
          <w:szCs w:val="24"/>
        </w:rPr>
        <w:t xml:space="preserve">i.     Merancang dan melaksanakan kempen pemasaran media sosial yang berstruktur merangkumi kalendar kandungan dan kempen iklan berbayar.</w:t>
      </w:r>
    </w:p>
    <w:p>
      <w:pPr>
        <w:spacing w:after="200" w:before="0" w:line="360" w:lineRule="auto"/>
        <w:ind w:left="720" w:hanging="431"/>
        <w:jc w:val="both"/>
      </w:pPr>
      <w:r>
        <w:rPr>
          <w:rFonts w:ascii="Times New Roman" w:cs="Times New Roman" w:eastAsia="Times New Roman" w:hAnsi="Times New Roman"/>
          <w:sz w:val="24"/>
          <w:szCs w:val="24"/>
        </w:rPr>
        <w:t xml:space="preserve">ii.    Menganalisis jangkauan dan penglibatan audiens yang dicapai melalui kempen iklan berbayar.</w:t>
      </w:r>
    </w:p>
    <w:p>
      <w:pPr>
        <w:spacing w:after="200" w:before="0" w:line="360" w:lineRule="auto"/>
        <w:ind w:left="720" w:hanging="431"/>
        <w:jc w:val="both"/>
      </w:pPr>
      <w:r>
        <w:rPr>
          <w:rFonts w:ascii="Times New Roman" w:cs="Times New Roman" w:eastAsia="Times New Roman" w:hAnsi="Times New Roman"/>
          <w:sz w:val="24"/>
          <w:szCs w:val="24"/>
        </w:rPr>
        <w:t xml:space="preserve">iii.   Menilai keberkesanan kempen dalam menjana prospek pelajar berdasarkan bilangan prospek, kos bagi setiap prospek, serta kos bagi setiap pelajar berdaftar berbanding kos sasaran yang ditetapkan institusi.</w:t>
      </w:r>
    </w:p>
    <w:p>
      <w:pPr>
        <w:spacing w:after="200" w:before="360" w:line="360" w:lineRule="auto"/>
      </w:pPr>
      <w:r>
        <w:rPr>
          <w:rFonts w:ascii="Times New Roman" w:cs="Times New Roman" w:eastAsia="Times New Roman" w:hAnsi="Times New Roman"/>
          <w:b/>
          <w:bCs/>
          <w:sz w:val="24"/>
          <w:szCs w:val="24"/>
        </w:rPr>
        <w:t xml:space="preserve">1.4  SKOP PROJEK</w:t>
      </w:r>
    </w:p>
    <w:p>
      <w:pPr>
        <w:spacing w:after="240" w:before="0" w:line="360" w:lineRule="auto"/>
        <w:jc w:val="both"/>
      </w:pPr>
      <w:r>
        <w:rPr>
          <w:rFonts w:ascii="Times New Roman" w:cs="Times New Roman" w:eastAsia="Times New Roman" w:hAnsi="Times New Roman"/>
          <w:sz w:val="24"/>
          <w:szCs w:val="24"/>
        </w:rPr>
        <w:t xml:space="preserve">Kempen pemasaran media sosial ini dilaksanakan sepanjang tempoh enam bulan bermula Januari sehingga Jun 2026 bagi TVET Lipis. Kempen ini merangkumi penerbitan kandungan organik di platform TikTok, Instagram dan Facebook, serta pengurusan kempen iklan berbayar di Meta Ads dan TikTok Ads yang menggunakan borang prospek dalam talian.</w:t>
      </w:r>
    </w:p>
    <w:p>
      <w:pPr>
        <w:spacing w:after="240" w:before="0" w:line="360" w:lineRule="auto"/>
        <w:jc w:val="both"/>
      </w:pPr>
      <w:r>
        <w:rPr>
          <w:rFonts w:ascii="Times New Roman" w:cs="Times New Roman" w:eastAsia="Times New Roman" w:hAnsi="Times New Roman"/>
          <w:sz w:val="24"/>
          <w:szCs w:val="24"/>
        </w:rPr>
        <w:t xml:space="preserve">Audiens sasaran kempen dibahagikan kepada dua kumpulan. Kumpulan pertama ialah bakal pelajar berumur 17 hingga 28 tahun, iaitu lepasan sekolah dan belia yang mencari laluan pengajian kemahiran. Kumpulan kedua ialah ibu bapa dan penjaga berumur 40 hingga 60 tahun, yang sering terlibat dalam keputusan pemilihan institusi pengajian anak mereka. Kempen iklan berbayar disasarkan secara berasingan kepada kedua-dua kumpulan ini, dengan kandungan dan mesej yang disesuaikan mengikut kumpulan masing-masing.</w:t>
      </w:r>
    </w:p>
    <w:p>
      <w:pPr>
        <w:spacing w:after="240" w:before="0" w:line="360" w:lineRule="auto"/>
        <w:jc w:val="both"/>
      </w:pPr>
      <w:r>
        <w:rPr>
          <w:rFonts w:ascii="Times New Roman" w:cs="Times New Roman" w:eastAsia="Times New Roman" w:hAnsi="Times New Roman"/>
          <w:sz w:val="24"/>
          <w:szCs w:val="24"/>
        </w:rPr>
        <w:t xml:space="preserve">Dari segi geografi, kempen meliputi seluruh Malaysia dengan tumpuan utama kepada negeri Pahang dan wilayah Pantai Timur. Program yang dipromosikan ialah Diploma Kemahiran Malaysia dalam bidang Pendidikan Awal Kanak-Kanak, Pra-Sekolah, Multimedia dan Elektrik. Kesemua prospek yang diterima sepanjang tempoh kempen direkodkan dalam sistem CRM TVET Lipis, manakala data prestasi diperoleh daripada analitik platform serta penyata bil rasmi kedua-dua platform iklan.</w:t>
      </w:r>
    </w:p>
    <w:p>
      <w:pPr>
        <w:spacing w:after="200" w:before="360" w:line="360" w:lineRule="auto"/>
      </w:pPr>
      <w:r>
        <w:rPr>
          <w:rFonts w:ascii="Times New Roman" w:cs="Times New Roman" w:eastAsia="Times New Roman" w:hAnsi="Times New Roman"/>
          <w:b/>
          <w:bCs/>
          <w:sz w:val="24"/>
          <w:szCs w:val="24"/>
        </w:rPr>
        <w:t xml:space="preserve">1.5  KEPENTINGAN PROJEK</w:t>
      </w:r>
    </w:p>
    <w:p>
      <w:pPr>
        <w:spacing w:after="240" w:before="0" w:line="360" w:lineRule="auto"/>
        <w:jc w:val="both"/>
      </w:pPr>
      <w:r>
        <w:rPr>
          <w:rFonts w:ascii="Times New Roman" w:cs="Times New Roman" w:eastAsia="Times New Roman" w:hAnsi="Times New Roman"/>
          <w:sz w:val="24"/>
          <w:szCs w:val="24"/>
        </w:rPr>
        <w:t xml:space="preserve">Projek ini memberi manfaat kepada beberapa pihak. Bagi TVET Lipis, projek ini menghasilkan satu rangka kerja pemasaran media sosial yang telah diuji dan boleh diulang pada setiap kitaran pengambilan pelajar, lengkap dengan data prestasi sebagai asas merancang belanjawan pemasaran pada masa hadapan. Pihak pengurusan kini dapat mengetahui platform mana yang menghasilkan prospek pada kos yang paling rendah, program mana yang paling diminati, serta negeri mana yang menyumbang bilangan prospek tertinggi.</w:t>
      </w:r>
    </w:p>
    <w:p>
      <w:pPr>
        <w:spacing w:after="240" w:before="0" w:line="360" w:lineRule="auto"/>
        <w:jc w:val="both"/>
      </w:pPr>
      <w:r>
        <w:rPr>
          <w:rFonts w:ascii="Times New Roman" w:cs="Times New Roman" w:eastAsia="Times New Roman" w:hAnsi="Times New Roman"/>
          <w:sz w:val="24"/>
          <w:szCs w:val="24"/>
        </w:rPr>
        <w:t xml:space="preserve">Bagi bakal pelajar pula, kehadiran maklumat program di media sosial memudahkan mereka mengetahui pilihan pengajian kemahiran yang tersedia tanpa perlu hadir ke kampus atau menunggu lawatan sekolah. Maklumat mengenai program, kemudahan dan peluang pembiayaan PTPK dapat diperoleh secara terus melalui telefon pintar.</w:t>
      </w:r>
    </w:p>
    <w:p>
      <w:pPr>
        <w:spacing w:after="240" w:before="0" w:line="360" w:lineRule="auto"/>
        <w:jc w:val="both"/>
      </w:pPr>
      <w:r>
        <w:rPr>
          <w:rFonts w:ascii="Times New Roman" w:cs="Times New Roman" w:eastAsia="Times New Roman" w:hAnsi="Times New Roman"/>
          <w:sz w:val="24"/>
          <w:szCs w:val="24"/>
        </w:rPr>
        <w:t xml:space="preserve">Bagi institusi pendidikan kemahiran yang lain, terutamanya yang beroperasi di kawasan luar bandar, projek ini menunjukkan bahawa pemasaran digital mampu menjangkau bakal pelajar di seluruh negara dengan belanjawan yang terkawal, tanpa bergantung sepenuhnya kepada kaedah pemasaran konvensional yang terhad kepada kawasan sekitar.</w:t>
      </w:r>
    </w:p>
    <w:p>
      <w:pPr>
        <w:spacing w:after="240" w:before="0" w:line="360" w:lineRule="auto"/>
        <w:jc w:val="both"/>
      </w:pPr>
      <w:r>
        <w:rPr>
          <w:rFonts w:ascii="Times New Roman" w:cs="Times New Roman" w:eastAsia="Times New Roman" w:hAnsi="Times New Roman"/>
          <w:sz w:val="24"/>
          <w:szCs w:val="24"/>
        </w:rPr>
        <w:t xml:space="preserve">Bagi calon Diploma Kemahiran Malaysia, projek ini menjadi bukti keterampilan dalam merancang, melaksana, memantau dan menilai kempen pemasaran media sosial secara menyeluruh, selaras dengan kehendak NOSS M731-001-4:2021.</w:t>
      </w:r>
    </w:p>
    <w:p>
      <w:r>
        <w:br w:type="page"/>
      </w:r>
    </w:p>
    <w:p>
      <w:pPr>
        <w:spacing w:after="240" w:before="0"/>
        <w:jc w:val="center"/>
      </w:pPr>
      <w:r>
        <w:rPr>
          <w:rFonts w:ascii="Times New Roman" w:cs="Times New Roman" w:eastAsia="Times New Roman" w:hAnsi="Times New Roman"/>
          <w:b/>
          <w:bCs/>
          <w:sz w:val="24"/>
          <w:szCs w:val="24"/>
        </w:rPr>
        <w:t xml:space="preserve">BAB 2</w:t>
      </w:r>
    </w:p>
    <w:p>
      <w:pPr>
        <w:spacing w:after="480" w:before="0"/>
        <w:jc w:val="center"/>
      </w:pPr>
      <w:r>
        <w:rPr>
          <w:rFonts w:ascii="Times New Roman" w:cs="Times New Roman" w:eastAsia="Times New Roman" w:hAnsi="Times New Roman"/>
          <w:b/>
          <w:bCs/>
          <w:sz w:val="24"/>
          <w:szCs w:val="24"/>
        </w:rPr>
        <w:t xml:space="preserve">METODOLOGI</w:t>
      </w:r>
    </w:p>
    <w:p>
      <w:pPr>
        <w:spacing w:after="200" w:before="360" w:line="360" w:lineRule="auto"/>
      </w:pPr>
      <w:r>
        <w:rPr>
          <w:rFonts w:ascii="Times New Roman" w:cs="Times New Roman" w:eastAsia="Times New Roman" w:hAnsi="Times New Roman"/>
          <w:b/>
          <w:bCs/>
          <w:sz w:val="24"/>
          <w:szCs w:val="24"/>
        </w:rPr>
        <w:t xml:space="preserve">2.1  PENGENALAN</w:t>
      </w:r>
    </w:p>
    <w:p>
      <w:pPr>
        <w:spacing w:after="240" w:before="0" w:line="360" w:lineRule="auto"/>
        <w:jc w:val="both"/>
      </w:pPr>
      <w:r>
        <w:rPr>
          <w:rFonts w:ascii="Times New Roman" w:cs="Times New Roman" w:eastAsia="Times New Roman" w:hAnsi="Times New Roman"/>
          <w:sz w:val="24"/>
          <w:szCs w:val="24"/>
        </w:rPr>
        <w:t xml:space="preserve">Metodologi merupakan bahagian penting dalam sesuatu projek kerana ia menerangkan cara data dikumpulkan, dianalisis dan ditafsirkan bagi mencapai objektif yang telah ditetapkan. Metodologi yang jelas memastikan setiap dapatan yang dilaporkan boleh dirujuk kembali kepada sumber data yang sah, dan bukan berdasarkan andaian atau pemerhatian umum semata-mata.</w:t>
      </w:r>
    </w:p>
    <w:p>
      <w:pPr>
        <w:spacing w:after="240" w:before="0" w:line="360" w:lineRule="auto"/>
        <w:jc w:val="both"/>
      </w:pPr>
      <w:r>
        <w:rPr>
          <w:rFonts w:ascii="Times New Roman" w:cs="Times New Roman" w:eastAsia="Times New Roman" w:hAnsi="Times New Roman"/>
          <w:sz w:val="24"/>
          <w:szCs w:val="24"/>
        </w:rPr>
        <w:t xml:space="preserve">Dalam projek pemasaran media sosial ini, data prestasi direkodkan secara berterusan sepanjang kempen dijalankan. Setiap tontonan video, jangkauan iklan, perbelanjaan dan prospek yang diterima direkodkan secara automatik oleh platform media sosial, platform pengiklanan serta sistem pengurusan hubungan pelanggan (CRM) yang digunakan oleh TVET Lipis. Data ini kemudiannya dikumpulkan dan dianalisis pada akhir tempoh kempen bagi menilai sejauh mana objektif projek telah dicapai.</w:t>
      </w:r>
    </w:p>
    <w:p>
      <w:pPr>
        <w:spacing w:after="240" w:before="0" w:line="360" w:lineRule="auto"/>
        <w:jc w:val="both"/>
      </w:pPr>
      <w:r>
        <w:rPr>
          <w:rFonts w:ascii="Times New Roman" w:cs="Times New Roman" w:eastAsia="Times New Roman" w:hAnsi="Times New Roman"/>
          <w:sz w:val="24"/>
          <w:szCs w:val="24"/>
        </w:rPr>
        <w:t xml:space="preserve">Bab ini seterusnya menerangkan kaedah analisis yang digunakan dalam projek, instrumen pengumpulan data, cara data dianalisis, serta aliran pelaksanaan kempen sepanjang tempoh enam bulan bermula Januari hingga Jun 2026.</w:t>
      </w:r>
    </w:p>
    <w:p>
      <w:pPr>
        <w:spacing w:after="200" w:before="360" w:line="360" w:lineRule="auto"/>
      </w:pPr>
      <w:r>
        <w:rPr>
          <w:rFonts w:ascii="Times New Roman" w:cs="Times New Roman" w:eastAsia="Times New Roman" w:hAnsi="Times New Roman"/>
          <w:b/>
          <w:bCs/>
          <w:sz w:val="24"/>
          <w:szCs w:val="24"/>
        </w:rPr>
        <w:t xml:space="preserve">2.2  KAEDAH ANALISIS</w:t>
      </w:r>
    </w:p>
    <w:p>
      <w:pPr>
        <w:spacing w:after="240" w:before="0" w:line="360" w:lineRule="auto"/>
        <w:jc w:val="both"/>
      </w:pPr>
      <w:r>
        <w:rPr>
          <w:rFonts w:ascii="Times New Roman" w:cs="Times New Roman" w:eastAsia="Times New Roman" w:hAnsi="Times New Roman"/>
          <w:sz w:val="24"/>
          <w:szCs w:val="24"/>
        </w:rPr>
        <w:t xml:space="preserve">Kaedah analisis yang digunakan dalam projek ini ialah kaedah kuantitatif. Kaedah kuantitatif merujuk kepada analisis yang menggunakan data berbentuk angka yang boleh diukur, dibandingkan dan disahkan. Kesemua data prestasi kempen dalam projek ini adalah berbentuk kuantitatif dan direkodkan secara automatik oleh platform yang digunakan.</w:t>
      </w:r>
    </w:p>
    <w:p>
      <w:pPr>
        <w:spacing w:after="240" w:before="0" w:line="360" w:lineRule="auto"/>
        <w:jc w:val="both"/>
      </w:pPr>
      <w:r>
        <w:rPr>
          <w:rFonts w:ascii="Times New Roman" w:cs="Times New Roman" w:eastAsia="Times New Roman" w:hAnsi="Times New Roman"/>
          <w:sz w:val="24"/>
          <w:szCs w:val="24"/>
        </w:rPr>
        <w:t xml:space="preserve">Metrik yang digunakan dalam analisis ini dibahagikan kepada dua kumpulan mengikut objektif projek, sebagaimana ditunjukkan dalam Jadual 2.1. Istilah dalam bahasa Inggeris turut dinyatakan kerana istilah tersebut merupakan istilah asal yang dipaparkan pada platform media sosial dan platform pengiklanan yang digunakan.</w:t>
      </w:r>
    </w:p>
    <w:p>
      <w:pPr>
        <w:spacing w:after="120" w:before="240" w:line="276"/>
      </w:pPr>
      <w:r>
        <w:rPr>
          <w:rFonts w:ascii="Times New Roman" w:cs="Times New Roman" w:eastAsia="Times New Roman" w:hAnsi="Times New Roman"/>
          <w:b/>
          <w:bCs/>
          <w:sz w:val="22"/>
          <w:szCs w:val="22"/>
        </w:rPr>
        <w:t xml:space="preserve">Jadual 2.1: Metrik yang Digunakan dalam Analisis Projek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shd w:fill="D9D9D9" w:color="auto" w:val="clear"/>
          </w:tcPr>
          <w:p>
            <w:pPr>
              <w:spacing w:after="40" w:before="40" w:line="276"/>
              <w:jc w:val="left"/>
            </w:pPr>
            <w:r>
              <w:rPr>
                <w:rFonts w:ascii="Times New Roman" w:cs="Times New Roman" w:eastAsia="Times New Roman" w:hAnsi="Times New Roman"/>
                <w:b/>
                <w:bCs/>
                <w:sz w:val="20"/>
                <w:szCs w:val="20"/>
              </w:rPr>
              <w:t xml:space="preserve">Metrik</w:t>
            </w:r>
          </w:p>
        </w:tc>
        <w:tc>
          <w:tcPr>
            <w:tcW w:type="dxa" w:w="4800"/>
            <w:shd w:fill="D9D9D9" w:color="auto" w:val="clear"/>
          </w:tcPr>
          <w:p>
            <w:pPr>
              <w:spacing w:after="40" w:before="40" w:line="276"/>
              <w:jc w:val="left"/>
            </w:pPr>
            <w:r>
              <w:rPr>
                <w:rFonts w:ascii="Times New Roman" w:cs="Times New Roman" w:eastAsia="Times New Roman" w:hAnsi="Times New Roman"/>
                <w:b/>
                <w:bCs/>
                <w:sz w:val="20"/>
                <w:szCs w:val="20"/>
              </w:rPr>
              <w:t xml:space="preserve">Penerangan / Cara Pengiraan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A. METRIK JANGKAUAN DAN PENGLIBATAN (REACH AND ENGAGEMENT METRICS) — OBJEKTIF 2</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Tayangan (Impressions)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Jumlah kali iklan atau kandungan dipaparkan kepada pengguna</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Klik (Clicks)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kali pengguna menekan iklan atau kandungan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Kadar Klik Lalu (Click-Through Rate, CTR)</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(Klik ÷ Tayangan) × 100%</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Tontonan Video (Video Views)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kali video ditonton oleh pengguna</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Bilangan Pengikut (Followers)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akaun yang mengikuti profil institusi</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B. METRIK PROSPEK DAN KOS (LEAD AND COST METRICS) — OBJEKTIF 3</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Prospek (Leads)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borang prospek dalam talian (lead form) yang diisi lengkap</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Perbelanjaan Iklan (Ad Spend)</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Jumlah kos iklan berbayar dalam Ringgit Malaysia</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Kos Per Klik (Cost Per Click, CPC)</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Perbelanjaan Iklan ÷ Bilangan Klik</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Kos Per Prospek (Cost Per Lead, CPL)</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Perbelanjaan Iklan ÷ Bilangan Prospek</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Kadar Penukaran Prospek (Lead Conversion Rate)</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Pelajar Berdaftar ÷ Bilangan Prospek) × 100%</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Kos Per Pelajar Berdaftar (Cost Per Acquisition, CPA)</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Perbelanjaan Iklan ÷ Bilangan Pelajar Berdaftar</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Data dianalisis secara deskriptif dengan mengira jumlah keseluruhan, peratusan dan purata bagi setiap metrik. Dua bentuk perbandingan dibuat dalam analisis ini. Pertama, perbandingan antara kedua-dua platform iklan berbayar iaitu Meta Ads dan TikTok Ads, bagi menentukan platform yang menghasilkan prospek pada kos paling rendah. Kedua, perbandingan antara setiap bulan sepanjang tempoh kempen, bagi mengenal pasti perubahan prestasi serta kesan tindakan penambahbaikan yang diambil semasa kempen sedang berjalan.</w:t>
      </w:r>
    </w:p>
    <w:p>
      <w:pPr>
        <w:spacing w:after="200" w:before="360" w:line="360" w:lineRule="auto"/>
      </w:pPr>
      <w:r>
        <w:rPr>
          <w:rFonts w:ascii="Times New Roman" w:cs="Times New Roman" w:eastAsia="Times New Roman" w:hAnsi="Times New Roman"/>
          <w:b/>
          <w:bCs/>
          <w:sz w:val="24"/>
          <w:szCs w:val="24"/>
        </w:rPr>
        <w:t xml:space="preserve">2.3  INSTRUMEN KAJIAN</w:t>
      </w:r>
    </w:p>
    <w:p>
      <w:pPr>
        <w:spacing w:after="240" w:before="0" w:line="360" w:lineRule="auto"/>
        <w:jc w:val="both"/>
      </w:pPr>
      <w:r>
        <w:rPr>
          <w:rFonts w:ascii="Times New Roman" w:cs="Times New Roman" w:eastAsia="Times New Roman" w:hAnsi="Times New Roman"/>
          <w:sz w:val="24"/>
          <w:szCs w:val="24"/>
        </w:rPr>
        <w:t xml:space="preserve">Instrumen kajian merujuk kepada alat yang digunakan untuk mengumpul data bagi mencapai objektif projek. Dalam projek pemasaran media sosial ini, instrumen yang digunakan terdiri daripada alat perancangan kandungan, alat analitik platform, alat pengurusan iklan, serta sistem rekod prospek. Kesemua instrumen ini merekodkan data secara automatik sepanjang tempoh kempen dijalankan.</w:t>
      </w:r>
    </w:p>
    <w:p>
      <w:pPr>
        <w:spacing w:after="120" w:before="240" w:line="276"/>
      </w:pPr>
      <w:r>
        <w:rPr>
          <w:rFonts w:ascii="Times New Roman" w:cs="Times New Roman" w:eastAsia="Times New Roman" w:hAnsi="Times New Roman"/>
          <w:b/>
          <w:bCs/>
          <w:sz w:val="22"/>
          <w:szCs w:val="22"/>
        </w:rPr>
        <w:t xml:space="preserve">Jadual 2.2: Instrumen Kajian dan Data yang Dikumpulkan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600"/>
      </w:tblGrid>
      <w:tr>
        <w:trPr>
          <w:tblHeader/>
        </w:trPr>
        <w:tc>
          <w:tcPr>
            <w:tcW w:type="dxa" w:w="2600"/>
            <w:shd w:fill="D9D9D9" w:color="auto" w:val="clear"/>
          </w:tcPr>
          <w:p>
            <w:pPr>
              <w:spacing w:after="40" w:before="40" w:line="276"/>
              <w:jc w:val="left"/>
            </w:pPr>
            <w:r>
              <w:rPr>
                <w:rFonts w:ascii="Times New Roman" w:cs="Times New Roman" w:eastAsia="Times New Roman" w:hAnsi="Times New Roman"/>
                <w:b/>
                <w:bCs/>
                <w:sz w:val="20"/>
                <w:szCs w:val="20"/>
              </w:rPr>
              <w:t xml:space="preserve">Instrumen</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Fungsi</w:t>
            </w:r>
          </w:p>
        </w:tc>
        <w:tc>
          <w:tcPr>
            <w:tcW w:type="dxa" w:w="3600"/>
            <w:shd w:fill="D9D9D9" w:color="auto" w:val="clear"/>
          </w:tcPr>
          <w:p>
            <w:pPr>
              <w:spacing w:after="40" w:before="40" w:line="276"/>
              <w:jc w:val="left"/>
            </w:pPr>
            <w:r>
              <w:rPr>
                <w:rFonts w:ascii="Times New Roman" w:cs="Times New Roman" w:eastAsia="Times New Roman" w:hAnsi="Times New Roman"/>
                <w:b/>
                <w:bCs/>
                <w:sz w:val="20"/>
                <w:szCs w:val="20"/>
              </w:rPr>
              <w:t xml:space="preserve">Data yang Dikumpulkan</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Kalendar Kandungan (Content Calendar)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Merancang dan menjadualkan penerbitan kandungan</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Tema, format, platform dan tarikh penerbitan</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Borang Prospek Dalam Talian (Lead Generation Form)</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Mengumpul maklumat bakal pelajar terus daripada iklan</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Nama, nombor telefon, kursus diminati dan negeri asal</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TikTok Analytics</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Memantau prestasi kandungan di TikTok</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Tontonan video, pengikut dan penglibatan</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Meta Ads Manager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Menguruskan dan memantau kempen iklan Meta</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Tayangan, kos per klik, perbelanjaan dan prospek</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TikTok Ads Manager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Menguruskan dan memantau kempen iklan TikTok</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Tayangan, klik, perbelanjaan dan prospek</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Penyata Bil Platform (Billing Statement)</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Mengesahkan jumlah perbelanjaan iklan sebenar</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Jumlah bayaran bagi Meta Ads dan TikTok Ads</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Sistem CRM TVET Lipis</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Merekod dan menyimpan data prospek</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Prospek mengikut sumber, bulan, kursus dan negeri</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Instrumen utama dalam pengumpulan data prospek ialah borang prospek dalam talian yang dikonfigurasikan dalam kempen Meta Ads dan TikTok Ads. Apabila bakal pelajar melihat iklan dan menekan butang pendaftaran minat, borang tersebut dipaparkan terus di dalam aplikasi tanpa perlu keluar ke laman web lain. Maklumat yang diisi kemudiannya dihantar terus ke sistem CRM TVET Lipis berserta maklumat platform sumbernya. Kaedah ini membolehkan setiap prospek dikenal pasti sumbernya secara automatik, iaitu masalah ketiga yang dikenal pasti dalam Bab 1.</w:t>
      </w:r>
    </w:p>
    <w:p>
      <w:pPr>
        <w:spacing w:after="200" w:before="360" w:line="360" w:lineRule="auto"/>
      </w:pPr>
      <w:r>
        <w:rPr>
          <w:rFonts w:ascii="Times New Roman" w:cs="Times New Roman" w:eastAsia="Times New Roman" w:hAnsi="Times New Roman"/>
          <w:b/>
          <w:bCs/>
          <w:sz w:val="24"/>
          <w:szCs w:val="24"/>
        </w:rPr>
        <w:t xml:space="preserve">2.4  ANALISA DATA</w:t>
      </w:r>
    </w:p>
    <w:p>
      <w:pPr>
        <w:spacing w:after="240" w:before="0" w:line="360" w:lineRule="auto"/>
        <w:jc w:val="both"/>
      </w:pPr>
      <w:r>
        <w:rPr>
          <w:rFonts w:ascii="Times New Roman" w:cs="Times New Roman" w:eastAsia="Times New Roman" w:hAnsi="Times New Roman"/>
          <w:sz w:val="24"/>
          <w:szCs w:val="24"/>
        </w:rPr>
        <w:t xml:space="preserve">Data yang diperoleh daripada instrumen kajian dianalisis bagi mendapatkan rumusan dan kesimpulan terhadap pencapaian projek. Analisis dibuat mengikut objektif projek yang telah ditetapkan dalam Bab 1, iaitu seperti berikut:</w:t>
      </w:r>
    </w:p>
    <w:p>
      <w:pPr>
        <w:spacing w:after="200" w:before="0" w:line="360" w:lineRule="auto"/>
        <w:ind w:left="720" w:hanging="431"/>
        <w:jc w:val="both"/>
      </w:pPr>
      <w:r>
        <w:rPr>
          <w:rFonts w:ascii="Times New Roman" w:cs="Times New Roman" w:eastAsia="Times New Roman" w:hAnsi="Times New Roman"/>
          <w:sz w:val="24"/>
          <w:szCs w:val="24"/>
        </w:rPr>
        <w:t xml:space="preserve">i.     Merancang dan melaksanakan kempen pemasaran media sosial yang berstruktur — dianalisis berdasarkan saluran media sosial yang dipilih, kalendar kandungan yang dibangunkan, serta kempen organik dan berbayar yang berjaya dilaksanakan sepanjang tempoh enam bulan.</w:t>
      </w:r>
    </w:p>
    <w:p>
      <w:pPr>
        <w:spacing w:after="200" w:before="0" w:line="360" w:lineRule="auto"/>
        <w:ind w:left="720" w:hanging="431"/>
        <w:jc w:val="both"/>
      </w:pPr>
      <w:r>
        <w:rPr>
          <w:rFonts w:ascii="Times New Roman" w:cs="Times New Roman" w:eastAsia="Times New Roman" w:hAnsi="Times New Roman"/>
          <w:sz w:val="24"/>
          <w:szCs w:val="24"/>
        </w:rPr>
        <w:t xml:space="preserve">ii.    Menganalisis jangkauan dan penglibatan audiens — dianalisis berdasarkan bilangan tayangan iklan, klik, kadar klik lalu serta kos per klik yang direkodkan oleh kedua-dua platform pengiklanan.</w:t>
      </w:r>
    </w:p>
    <w:p>
      <w:pPr>
        <w:spacing w:after="200" w:before="0" w:line="360" w:lineRule="auto"/>
        <w:ind w:left="720" w:hanging="431"/>
        <w:jc w:val="both"/>
      </w:pPr>
      <w:r>
        <w:rPr>
          <w:rFonts w:ascii="Times New Roman" w:cs="Times New Roman" w:eastAsia="Times New Roman" w:hAnsi="Times New Roman"/>
          <w:sz w:val="24"/>
          <w:szCs w:val="24"/>
        </w:rPr>
        <w:t xml:space="preserve">iii.   Menilai keberkesanan kempen dalam menjana prospek pelajar — dianalisis berdasarkan bilangan prospek mengikut platform, bulan, kursus dan negeri, kos bagi setiap prospek, kadar penukaran prospek kepada pelajar berdaftar, serta kos bagi setiap pelajar berdaftar berbanding kos sasaran institusi.</w:t>
      </w:r>
    </w:p>
    <w:p>
      <w:pPr>
        <w:spacing w:after="240" w:before="0" w:line="360" w:lineRule="auto"/>
        <w:jc w:val="both"/>
      </w:pPr>
      <w:r>
        <w:rPr>
          <w:rFonts w:ascii="Times New Roman" w:cs="Times New Roman" w:eastAsia="Times New Roman" w:hAnsi="Times New Roman"/>
          <w:sz w:val="24"/>
          <w:szCs w:val="24"/>
        </w:rPr>
        <w:t xml:space="preserve">Hasil analisis dipersembahkan dalam bentuk jadual dan carta. Carta bar digunakan bagi menunjukkan perubahan prestasi mengikut bulan sepanjang tempoh kempen, manakala carta pai digunakan bagi menunjukkan pecahan prospek mengikut kursus. Persembahan data dalam bentuk visual ini memudahkan perbandingan dibuat dan rumusan dicapai terhadap pencapaian setiap objektif projek.</w:t>
      </w:r>
    </w:p>
    <w:p>
      <w:pPr>
        <w:spacing w:after="200" w:before="360" w:line="360" w:lineRule="auto"/>
      </w:pPr>
      <w:r>
        <w:rPr>
          <w:rFonts w:ascii="Times New Roman" w:cs="Times New Roman" w:eastAsia="Times New Roman" w:hAnsi="Times New Roman"/>
          <w:b/>
          <w:bCs/>
          <w:sz w:val="24"/>
          <w:szCs w:val="24"/>
        </w:rPr>
        <w:t xml:space="preserve">2.5  ALIRAN PELAKSANAAN KEMPEN</w:t>
      </w:r>
    </w:p>
    <w:p>
      <w:pPr>
        <w:spacing w:after="240" w:before="0" w:line="360" w:lineRule="auto"/>
        <w:jc w:val="both"/>
      </w:pPr>
      <w:r>
        <w:rPr>
          <w:rFonts w:ascii="Times New Roman" w:cs="Times New Roman" w:eastAsia="Times New Roman" w:hAnsi="Times New Roman"/>
          <w:sz w:val="24"/>
          <w:szCs w:val="24"/>
        </w:rPr>
        <w:t xml:space="preserve">Pelaksanaan kempen pemasaran media sosial ini dibahagikan kepada enam fasa utama, bermula daripada penentuan saluran media sosial sehingga pengoptimuman prestasi kempen. Setiap fasa mempunyai aktiviti dan hasil kerja yang tersendiri.</w:t>
      </w:r>
    </w:p>
    <w:p>
      <w:pPr>
        <w:spacing w:after="180" w:before="300" w:line="360" w:lineRule="auto"/>
      </w:pPr>
      <w:r>
        <w:rPr>
          <w:rFonts w:ascii="Times New Roman" w:cs="Times New Roman" w:eastAsia="Times New Roman" w:hAnsi="Times New Roman"/>
          <w:b/>
          <w:bCs/>
          <w:sz w:val="24"/>
          <w:szCs w:val="24"/>
        </w:rPr>
        <w:t xml:space="preserve">2.5.1  Perancangan Kalendar Kandungan</w:t>
      </w:r>
    </w:p>
    <w:p>
      <w:pPr>
        <w:spacing w:after="240" w:before="0" w:line="360" w:lineRule="auto"/>
        <w:jc w:val="both"/>
      </w:pPr>
      <w:r>
        <w:rPr>
          <w:rFonts w:ascii="Times New Roman" w:cs="Times New Roman" w:eastAsia="Times New Roman" w:hAnsi="Times New Roman"/>
          <w:sz w:val="24"/>
          <w:szCs w:val="24"/>
        </w:rPr>
        <w:t xml:space="preserve">Kalendar kandungan merupakan dokumen perancangan yang menentukan tema, format, platform dan tarikh penerbitan bagi setiap kandungan yang akan diterbitkan. Kalendar ini dirancang secara bulanan, iaitu perancangan disediakan pada awal setiap bulan bagi kandungan sepanjang bulan tersebut. Pendekatan bulanan dipilih kerana ia membolehkan penyesuaian dibuat mengikut peristiwa semasa seperti pengumuman keputusan peperiksaan, berbanding perancangan enam bulan sekaligus yang lebih sukar diubah suai.</w:t>
      </w:r>
    </w:p>
    <w:p>
      <w:pPr>
        <w:spacing w:after="120" w:before="240" w:line="276"/>
      </w:pPr>
      <w:r>
        <w:rPr>
          <w:rFonts w:ascii="Times New Roman" w:cs="Times New Roman" w:eastAsia="Times New Roman" w:hAnsi="Times New Roman"/>
          <w:b/>
          <w:bCs/>
          <w:sz w:val="22"/>
          <w:szCs w:val="22"/>
        </w:rPr>
        <w:t xml:space="preserve">Jadual 2.3: Tema Kandungan (Content Pillar) yang Digunakan dalam Kempen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2400"/>
        <w:gridCol w:w="1700"/>
      </w:tblGrid>
      <w:tr>
        <w:trPr>
          <w:tblHeader/>
        </w:trPr>
        <w:tc>
          <w:tcPr>
            <w:tcW w:type="dxa" w:w="2100"/>
            <w:shd w:fill="D9D9D9" w:color="auto" w:val="clear"/>
          </w:tcPr>
          <w:p>
            <w:pPr>
              <w:spacing w:after="40" w:before="40" w:line="276"/>
              <w:jc w:val="left"/>
            </w:pPr>
            <w:r>
              <w:rPr>
                <w:rFonts w:ascii="Times New Roman" w:cs="Times New Roman" w:eastAsia="Times New Roman" w:hAnsi="Times New Roman"/>
                <w:b/>
                <w:bCs/>
                <w:sz w:val="20"/>
                <w:szCs w:val="20"/>
              </w:rPr>
              <w:t xml:space="preserve">Tema Kandungan</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Tujuan</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Contoh Kandungan</w:t>
            </w:r>
          </w:p>
        </w:tc>
        <w:tc>
          <w:tcPr>
            <w:tcW w:type="dxa" w:w="1700"/>
            <w:shd w:fill="D9D9D9" w:color="auto" w:val="clear"/>
          </w:tcPr>
          <w:p>
            <w:pPr>
              <w:spacing w:after="40" w:before="40" w:line="276"/>
              <w:jc w:val="left"/>
            </w:pPr>
            <w:r>
              <w:rPr>
                <w:rFonts w:ascii="Times New Roman" w:cs="Times New Roman" w:eastAsia="Times New Roman" w:hAnsi="Times New Roman"/>
                <w:b/>
                <w:bCs/>
                <w:sz w:val="20"/>
                <w:szCs w:val="20"/>
              </w:rPr>
              <w:t xml:space="preserve">Segmen Sasaran</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Motivasi dan peluang kedua</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Menarik lepasan sekolah yang keputusan peperiksaannya tidak melayakkan laluan akademik</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Ini adalah peluang kedua anda!</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Maklumat untuk ibu bapa</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Memberi kefahaman kepada ibu bapa tentang laluan TVET dan pembiayaan PTPK</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Perhatian Kepada Ibu Bapa</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Ibu bapa</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Mematahkan miskonsepsi TVET</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Menangani tanggapan negatif terhadap pendidikan kemahiran</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Siapa kata lepasan TVET tak boleh sambung degree?</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 dan ibu bapa</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Sorotan program</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Memperkenalkan setiap program yang ditawarkan</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Apa itu motion graphics?</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Jelajah sekolah</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Meningkatkan kesedaran pelajar tempatan melalui rakaman aktiviti promosi di sekolah</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Lipis School Tour</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 tempatan</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Kandungan tempatan</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Membina kesedaran jenama melalui kandungan bukan promosi</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Tempat Makan Underrated Kuala Lipis</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Umum</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Enam tema ini dibahagikan kepada dua kategori mengikut tujuan. Empat tema pertama merupakan kandungan berorientasikan pengambilan pelajar yang menyampaikan maklumat program secara langsung. Dua tema terakhir pula merupakan kandungan berorientasikan kesedaran jenama yang tidak mempromosikan program secara langsung.</w:t>
      </w:r>
    </w:p>
    <w:p>
      <w:pPr>
        <w:spacing w:after="240" w:before="0" w:line="360" w:lineRule="auto"/>
        <w:jc w:val="both"/>
      </w:pPr>
      <w:r>
        <w:rPr>
          <w:rFonts w:ascii="Times New Roman" w:cs="Times New Roman" w:eastAsia="Times New Roman" w:hAnsi="Times New Roman"/>
          <w:sz w:val="24"/>
          <w:szCs w:val="24"/>
        </w:rPr>
        <w:t xml:space="preserve">Tema kandungan tempatan wajar diberi perhatian khusus. Video mengenai tempat makan di Kuala Lipis tidak mempunyai kaitan langsung dengan program yang ditawarkan, namun mencatatkan 99,400 tontonan secara organik. Kandungan sebegini lebih mudah diterima oleh audiens tempatan kerana ia tidak berbentuk iklan, sekali gus membolehkan akaun institusi muncul dalam paparan pengguna di kawasan sekitar. Pendekatan ini digunakan sebagai strategi meningkatkan jangkauan organik tanpa bergantung sepenuhnya kepada kandungan promosi.</w:t>
      </w:r>
    </w:p>
    <w:p>
      <w:pPr>
        <w:spacing w:after="120" w:before="240" w:line="276"/>
      </w:pPr>
      <w:r>
        <w:rPr>
          <w:rFonts w:ascii="Times New Roman" w:cs="Times New Roman" w:eastAsia="Times New Roman" w:hAnsi="Times New Roman"/>
          <w:b/>
          <w:bCs/>
          <w:sz w:val="22"/>
          <w:szCs w:val="22"/>
        </w:rPr>
        <w:t xml:space="preserve">Jadual 2.4: Format dan Kekerapan Penerbitan Kandungan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2800"/>
      </w:tblGrid>
      <w:tr>
        <w:trPr>
          <w:tblHeader/>
        </w:trPr>
        <w:tc>
          <w:tcPr>
            <w:tcW w:type="dxa" w:w="3000"/>
            <w:shd w:fill="D9D9D9" w:color="auto" w:val="clear"/>
          </w:tcPr>
          <w:p>
            <w:pPr>
              <w:spacing w:after="40" w:before="40" w:line="276"/>
              <w:jc w:val="left"/>
            </w:pPr>
            <w:r>
              <w:rPr>
                <w:rFonts w:ascii="Times New Roman" w:cs="Times New Roman" w:eastAsia="Times New Roman" w:hAnsi="Times New Roman"/>
                <w:b/>
                <w:bCs/>
                <w:sz w:val="20"/>
                <w:szCs w:val="20"/>
              </w:rPr>
              <w:t xml:space="preserve">Format Kandungan</w:t>
            </w:r>
          </w:p>
        </w:tc>
        <w:tc>
          <w:tcPr>
            <w:tcW w:type="dxa" w:w="3200"/>
            <w:shd w:fill="D9D9D9" w:color="auto" w:val="clear"/>
          </w:tcPr>
          <w:p>
            <w:pPr>
              <w:spacing w:after="40" w:before="40" w:line="276"/>
              <w:jc w:val="left"/>
            </w:pPr>
            <w:r>
              <w:rPr>
                <w:rFonts w:ascii="Times New Roman" w:cs="Times New Roman" w:eastAsia="Times New Roman" w:hAnsi="Times New Roman"/>
                <w:b/>
                <w:bCs/>
                <w:sz w:val="20"/>
                <w:szCs w:val="20"/>
              </w:rPr>
              <w:t xml:space="preserve">Kekerapan</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Platform</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Video pendek (short-form video)</w:t>
            </w:r>
          </w:p>
        </w:tc>
        <w:tc>
          <w:tcPr>
            <w:tcW w:type="dxa" w:w="3200"/>
          </w:tcPr>
          <w:p>
            <w:pPr>
              <w:spacing w:after="40" w:before="40" w:line="276"/>
              <w:jc w:val="left"/>
            </w:pPr>
            <w:r>
              <w:rPr>
                <w:rFonts w:ascii="Times New Roman" w:cs="Times New Roman" w:eastAsia="Times New Roman" w:hAnsi="Times New Roman"/>
                <w:b w:val="false"/>
                <w:bCs w:val="false"/>
                <w:sz w:val="20"/>
                <w:szCs w:val="20"/>
              </w:rPr>
              <w:t xml:space="preserve">Sekali setiap dua minggu</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TikTok, Instagram Reels, Facebook</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Poster grafik (graphic poster)</w:t>
            </w:r>
          </w:p>
        </w:tc>
        <w:tc>
          <w:tcPr>
            <w:tcW w:type="dxa" w:w="3200"/>
          </w:tcPr>
          <w:p>
            <w:pPr>
              <w:spacing w:after="40" w:before="40" w:line="276"/>
              <w:jc w:val="left"/>
            </w:pPr>
            <w:r>
              <w:rPr>
                <w:rFonts w:ascii="Times New Roman" w:cs="Times New Roman" w:eastAsia="Times New Roman" w:hAnsi="Times New Roman"/>
                <w:b w:val="false"/>
                <w:bCs w:val="false"/>
                <w:sz w:val="20"/>
                <w:szCs w:val="20"/>
              </w:rPr>
              <w:t xml:space="preserve">Sekali seminggu</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Instagram, Facebook</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Jumlah minimum</w:t>
            </w:r>
          </w:p>
        </w:tc>
        <w:tc>
          <w:tcPr>
            <w:tcW w:type="dxa" w:w="3200"/>
          </w:tcPr>
          <w:p>
            <w:pPr>
              <w:spacing w:after="40" w:before="40" w:line="276"/>
              <w:jc w:val="left"/>
            </w:pPr>
            <w:r>
              <w:rPr>
                <w:rFonts w:ascii="Times New Roman" w:cs="Times New Roman" w:eastAsia="Times New Roman" w:hAnsi="Times New Roman"/>
                <w:b w:val="false"/>
                <w:bCs w:val="false"/>
                <w:sz w:val="20"/>
                <w:szCs w:val="20"/>
              </w:rPr>
              <w:t xml:space="preserve">Sekurang-kurangnya satu kandungan baharu setiap minggu</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Semua platform</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Penghasilan kandungan dilaksanakan secara berpasukan. Pengkaji bertindak sebagai pengurus pemasaran yang merancang tema dan menyelaras pelaksanaan, manakala pasukan pemasaran terlibat dalam penghasilan kandungan. Reka bentuk poster grafik disediakan menggunakan perisian Canva, manakala penerbitan kandungan dijadualkan menggunakan fungsi penjadualan (scheduled posting) dalam Meta Business Suite bagi memastikan kandungan diterbitkan mengikut jadual yang ditetapkan.</w:t>
      </w:r>
    </w:p>
    <w:p>
      <w:pPr>
        <w:spacing w:after="240" w:before="0" w:line="360" w:lineRule="auto"/>
        <w:jc w:val="both"/>
      </w:pPr>
      <w:r>
        <w:rPr>
          <w:rFonts w:ascii="Times New Roman" w:cs="Times New Roman" w:eastAsia="Times New Roman" w:hAnsi="Times New Roman"/>
          <w:sz w:val="24"/>
          <w:szCs w:val="24"/>
        </w:rPr>
        <w:t xml:space="preserve">Tema kandungan turut disesuaikan mengikut kitaran pengambilan pelajar. Menjelang tempoh pengumuman keputusan SPM, kandungan lebih tertumpu kepada maklumat program dan syarat kemasukan bagi memenuhi keperluan bakal pelajar yang sedang meninjau pilihan pengajian. Pada bulan-bulan lain, kandungan lebih tertumpu kepada pembinaan kesedaran jenama.</w:t>
      </w:r>
    </w:p>
    <w:p>
      <w:pPr>
        <w:spacing w:after="180" w:before="300" w:line="360" w:lineRule="auto"/>
      </w:pPr>
      <w:r>
        <w:rPr>
          <w:rFonts w:ascii="Times New Roman" w:cs="Times New Roman" w:eastAsia="Times New Roman" w:hAnsi="Times New Roman"/>
          <w:b/>
          <w:bCs/>
          <w:sz w:val="24"/>
          <w:szCs w:val="24"/>
        </w:rPr>
        <w:t xml:space="preserve">2.5.2  Carta Alir Pelaksanaan Kempen</w:t>
      </w:r>
    </w:p>
    <w:p>
      <w:pPr>
        <w:spacing w:after="240" w:before="0" w:line="360" w:lineRule="auto"/>
        <w:jc w:val="both"/>
      </w:pPr>
      <w:r>
        <w:rPr>
          <w:rFonts w:ascii="Times New Roman" w:cs="Times New Roman" w:eastAsia="Times New Roman" w:hAnsi="Times New Roman"/>
          <w:sz w:val="24"/>
          <w:szCs w:val="24"/>
        </w:rPr>
        <w:t xml:space="preserve">Rajah 2.1 menunjukkan carta alir proses kerja pelaksanaan kempen bermula daripada penentuan saluran sehingga penyediaan laporan akhir. Carta alir ini turut menunjukkan kitaran pemantauan dan pengoptimuman yang berlaku semasa kempen sedang berjalan, di mana prestasi yang tidak mencapai sasaran menyebabkan tindakan penambahbaikan diambil sebelum pelaksanaan diteruskan.</w:t>
      </w:r>
    </w:p>
    <w:p>
      <w:pPr>
        <w:spacing w:after="120" w:before="240" w:line="276"/>
      </w:pPr>
      <w:r>
        <w:rPr>
          <w:rFonts w:ascii="Times New Roman" w:cs="Times New Roman" w:eastAsia="Times New Roman" w:hAnsi="Times New Roman"/>
          <w:b/>
          <w:bCs/>
          <w:sz w:val="22"/>
          <w:szCs w:val="22"/>
        </w:rPr>
        <w:t xml:space="preserve">Jadual 2.5: Fasa Pelaksanaan Kempen dan Aktiviti yang Dijalankan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00"/>
      </w:tblGrid>
      <w:tr>
        <w:trPr>
          <w:tblHeader/>
        </w:trPr>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Fasa</w:t>
            </w:r>
          </w:p>
        </w:tc>
        <w:tc>
          <w:tcPr>
            <w:tcW w:type="dxa" w:w="4600"/>
            <w:shd w:fill="D9D9D9" w:color="auto" w:val="clear"/>
          </w:tcPr>
          <w:p>
            <w:pPr>
              <w:spacing w:after="40" w:before="40" w:line="276"/>
              <w:jc w:val="left"/>
            </w:pPr>
            <w:r>
              <w:rPr>
                <w:rFonts w:ascii="Times New Roman" w:cs="Times New Roman" w:eastAsia="Times New Roman" w:hAnsi="Times New Roman"/>
                <w:b/>
                <w:bCs/>
                <w:sz w:val="20"/>
                <w:szCs w:val="20"/>
              </w:rPr>
              <w:t xml:space="preserve">Aktiviti yang Dijalankan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Hasil Kerja</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1: Penentuan Saluran Media Sosial</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Menganalisis profil audiens sasaran dan menentukan platform yang paling sesuai. Platform Meta dan TikTok dipilih kerana audiens sasaran aktif menggunakan platform tersebut. LinkedIn tidak dipilih kerana lebih tertumpu kepada golongan profesional, manakala pemasaran e-mel kurang berkesan bagi golongan lepasan sekolah.</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Senarai saluran terpilih</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2: Penyediaan Pelan Kempen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Menetapkan objektif kempen, segmen audiens, lokasi sasaran, tempoh, belanjawan, program yang dipromosikan serta sasaran pencapaian. Kos sasaran pengambilan pelajar ditetapkan pada RM500 berdasarkan kadar yuran ejen sedia ada.</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Dokumen pelan kempen</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3: Perancangan Kalendar Kandungan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Membina kalendar kandungan bulanan merangkumi tema, format, platform dan tarikh penerbitan. Reka bentuk disediakan menggunakan Canva dan penerbitan dijadualkan melalui Meta Business Suite.</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Kalendar kandungan bulanan</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4: Penyediaan Cadangan Kempen Iklan Berbayar</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Menyediakan cadangan kempen merangkumi objektif Lead Generation, pengagihan belanjawan, parameter penyasaran, format iklan serta medan maklumat dalam borang prospek.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Dokumen cadangan iklan</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5: Penyelarasan Pelaksanaan Kempen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Menerbitkan kandungan mengikut kalendar, melancarkan Meta Ads pada Januari 2026 dan TikTok Ads pada Mac 2026 bersempena musim keputusan SPM. Prospek dialirkan terus ke sistem CRM.</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Kempen aktif dan rekod prospek</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6: Pengoptimuman Prestasi Kempen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Memantau prestasi bulanan dan mengambil tindakan penambahbaikan. Kos per prospek yang meningkat menyebabkan kreatif diperbaharui dan saluran TikTok Ads dibuka. Belanjawan diagihkan semula kepada platform berprestasi terbaik.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Laporan prestasi bulanan</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b/>
          <w:bCs/>
          <w:color w:val="C00000"/>
          <w:sz w:val="24"/>
          <w:szCs w:val="24"/>
        </w:rPr>
        <w:t xml:space="preserve">[ SISIPKAN RAJAH 2.1: CARTA ALIR PELAKSANAAN KEMPEN DI SINI ]</w:t>
      </w:r>
    </w:p>
    <w:p>
      <w:r>
        <w:rPr>
          <w:rFonts w:ascii="Times New Roman" w:cs="Times New Roman" w:eastAsia="Times New Roman" w:hAnsi="Times New Roman"/>
          <w:sz w:val="24"/>
          <w:szCs w:val="24"/>
        </w:rPr>
        <w:t xml:space="preserve"/>
      </w:r>
    </w:p>
    <w:p>
      <w:pPr>
        <w:spacing w:after="180" w:before="300" w:line="360" w:lineRule="auto"/>
      </w:pPr>
      <w:r>
        <w:rPr>
          <w:rFonts w:ascii="Times New Roman" w:cs="Times New Roman" w:eastAsia="Times New Roman" w:hAnsi="Times New Roman"/>
          <w:b/>
          <w:bCs/>
          <w:sz w:val="24"/>
          <w:szCs w:val="24"/>
        </w:rPr>
        <w:t xml:space="preserve">2.5.3  Jadual Pelaksanaan Kempen</w:t>
      </w:r>
    </w:p>
    <w:p>
      <w:pPr>
        <w:spacing w:after="120" w:before="240" w:line="276"/>
      </w:pPr>
      <w:r>
        <w:rPr>
          <w:rFonts w:ascii="Times New Roman" w:cs="Times New Roman" w:eastAsia="Times New Roman" w:hAnsi="Times New Roman"/>
          <w:b/>
          <w:bCs/>
          <w:sz w:val="22"/>
          <w:szCs w:val="22"/>
        </w:rPr>
        <w:t xml:space="preserve">Jadual 2.6: Jadual Pelaksanaan Kempen Januari – Jun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800"/>
        <w:gridCol w:w="800"/>
        <w:gridCol w:w="800"/>
        <w:gridCol w:w="800"/>
        <w:gridCol w:w="800"/>
        <w:gridCol w:w="800"/>
      </w:tblGrid>
      <w:tr>
        <w:trPr>
          <w:tblHeader/>
        </w:trPr>
        <w:tc>
          <w:tcPr>
            <w:tcW w:type="dxa" w:w="600"/>
            <w:shd w:fill="D9D9D9" w:color="auto" w:val="clear"/>
          </w:tcPr>
          <w:p>
            <w:pPr>
              <w:spacing w:after="40" w:before="40" w:line="276"/>
              <w:jc w:val="left"/>
            </w:pPr>
            <w:r>
              <w:rPr>
                <w:rFonts w:ascii="Times New Roman" w:cs="Times New Roman" w:eastAsia="Times New Roman" w:hAnsi="Times New Roman"/>
                <w:b/>
                <w:bCs/>
                <w:sz w:val="20"/>
                <w:szCs w:val="20"/>
              </w:rPr>
              <w:t xml:space="preserve">Bil</w:t>
            </w:r>
          </w:p>
        </w:tc>
        <w:tc>
          <w:tcPr>
            <w:tcW w:type="dxa" w:w="3600"/>
            <w:shd w:fill="D9D9D9" w:color="auto" w:val="clear"/>
          </w:tcPr>
          <w:p>
            <w:pPr>
              <w:spacing w:after="40" w:before="40" w:line="276"/>
              <w:jc w:val="left"/>
            </w:pPr>
            <w:r>
              <w:rPr>
                <w:rFonts w:ascii="Times New Roman" w:cs="Times New Roman" w:eastAsia="Times New Roman" w:hAnsi="Times New Roman"/>
                <w:b/>
                <w:bCs/>
                <w:sz w:val="20"/>
                <w:szCs w:val="20"/>
              </w:rPr>
              <w:t xml:space="preserve">Aktiviti</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Jan</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Feb</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Mac</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Apr</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Mei</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Jun</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1</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Penentuan saluran media sosial</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2</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Penyediaan pelan kempen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3</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Perancangan kalendar kandungan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4</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Cadangan kempen iklan Meta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5</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Penerbitan kandungan organik</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6</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Pelaksanaan kempen Meta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7</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Cadangan kempen iklan TikTok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8</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Pelaksanaan kempen TikTok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9</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Pemantauan prestasi bulanan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10</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Pengoptimuman dan pengagihan belanjawan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11</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Analisis dan penyediaan laporan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bl>
    <w:p>
      <w:pPr>
        <w:spacing w:after="240" w:before="60" w:line="276"/>
      </w:pPr>
      <w:r>
        <w:rPr>
          <w:rFonts w:ascii="Times New Roman" w:cs="Times New Roman" w:eastAsia="Times New Roman" w:hAnsi="Times New Roman"/>
          <w:i/>
          <w:iCs/>
          <w:sz w:val="20"/>
          <w:szCs w:val="20"/>
        </w:rPr>
        <w:t xml:space="preserve">Petunjuk:  /  menunjukkan tempoh pelaksanaan aktiviti</w:t>
      </w:r>
    </w:p>
    <w:p>
      <w:r>
        <w:br w:type="page"/>
      </w:r>
    </w:p>
    <w:p>
      <w:pPr>
        <w:spacing w:after="240" w:before="0"/>
        <w:jc w:val="center"/>
      </w:pPr>
      <w:r>
        <w:rPr>
          <w:rFonts w:ascii="Times New Roman" w:cs="Times New Roman" w:eastAsia="Times New Roman" w:hAnsi="Times New Roman"/>
          <w:b/>
          <w:bCs/>
          <w:sz w:val="24"/>
          <w:szCs w:val="24"/>
        </w:rPr>
        <w:t xml:space="preserve">BAB 3</w:t>
      </w:r>
    </w:p>
    <w:p>
      <w:pPr>
        <w:spacing w:after="480" w:before="0"/>
        <w:jc w:val="center"/>
      </w:pPr>
      <w:r>
        <w:rPr>
          <w:rFonts w:ascii="Times New Roman" w:cs="Times New Roman" w:eastAsia="Times New Roman" w:hAnsi="Times New Roman"/>
          <w:b/>
          <w:bCs/>
          <w:sz w:val="24"/>
          <w:szCs w:val="24"/>
        </w:rPr>
        <w:t xml:space="preserve">PENEMUAN DAN ANALISIS</w:t>
      </w:r>
    </w:p>
    <w:p>
      <w:pPr>
        <w:spacing w:after="200" w:before="360" w:line="360" w:lineRule="auto"/>
      </w:pPr>
      <w:r>
        <w:rPr>
          <w:rFonts w:ascii="Times New Roman" w:cs="Times New Roman" w:eastAsia="Times New Roman" w:hAnsi="Times New Roman"/>
          <w:b/>
          <w:bCs/>
          <w:sz w:val="24"/>
          <w:szCs w:val="24"/>
        </w:rPr>
        <w:t xml:space="preserve">3.1  PENGENALAN</w:t>
      </w:r>
    </w:p>
    <w:p>
      <w:pPr>
        <w:spacing w:after="240" w:before="0" w:line="360" w:lineRule="auto"/>
        <w:jc w:val="both"/>
      </w:pPr>
      <w:r>
        <w:rPr>
          <w:rFonts w:ascii="Times New Roman" w:cs="Times New Roman" w:eastAsia="Times New Roman" w:hAnsi="Times New Roman"/>
          <w:sz w:val="24"/>
          <w:szCs w:val="24"/>
        </w:rPr>
        <w:t xml:space="preserve">Penemuan dan analisis merupakan bahagian yang membentangkan hasil yang diperoleh daripada pengumpulan data serta menerangkan bagaimana data tersebut ditafsirkan. Bab ini membentangkan penemuan hasil pelaksanaan kempen pemasaran media sosial TVET Lipis sepanjang tempoh Januari hingga Jun 2026.</w:t>
      </w:r>
    </w:p>
    <w:p>
      <w:pPr>
        <w:spacing w:after="240" w:before="0" w:line="360" w:lineRule="auto"/>
        <w:jc w:val="both"/>
      </w:pPr>
      <w:r>
        <w:rPr>
          <w:rFonts w:ascii="Times New Roman" w:cs="Times New Roman" w:eastAsia="Times New Roman" w:hAnsi="Times New Roman"/>
          <w:sz w:val="24"/>
          <w:szCs w:val="24"/>
        </w:rPr>
        <w:t xml:space="preserve">Data yang dibentangkan dalam bab ini diperoleh daripada analitik platform media sosial, platform pengurusan iklan, penyata bil rasmi platform pengiklanan, serta sistem pengurusan hubungan pelanggan (CRM) institusi. Kesemua data direkodkan secara automatik oleh sistem sepanjang tempoh kempen dijalankan.</w:t>
      </w:r>
    </w:p>
    <w:p>
      <w:pPr>
        <w:spacing w:after="240" w:before="0" w:line="360" w:lineRule="auto"/>
        <w:jc w:val="both"/>
      </w:pPr>
      <w:r>
        <w:rPr>
          <w:rFonts w:ascii="Times New Roman" w:cs="Times New Roman" w:eastAsia="Times New Roman" w:hAnsi="Times New Roman"/>
          <w:sz w:val="24"/>
          <w:szCs w:val="24"/>
        </w:rPr>
        <w:t xml:space="preserve">Analisis dalam bab ini disusun mengikut tiga objektif projek yang telah ditetapkan dalam Bab 1. Setiap objektif dibincangkan berdasarkan data sebenar yang direkodkan, dipersembahkan dalam bentuk jadual dan carta, serta diikuti dengan huraian terhadap dapatan yang diperoleh.</w:t>
      </w:r>
    </w:p>
    <w:p>
      <w:pPr>
        <w:spacing w:after="200" w:before="360" w:line="360" w:lineRule="auto"/>
      </w:pPr>
      <w:r>
        <w:rPr>
          <w:rFonts w:ascii="Times New Roman" w:cs="Times New Roman" w:eastAsia="Times New Roman" w:hAnsi="Times New Roman"/>
          <w:b/>
          <w:bCs/>
          <w:sz w:val="24"/>
          <w:szCs w:val="24"/>
        </w:rPr>
        <w:t xml:space="preserve">3.2  HASIL KAJIAN</w:t>
      </w:r>
    </w:p>
    <w:p>
      <w:pPr>
        <w:spacing w:after="240" w:before="0" w:line="360" w:lineRule="auto"/>
        <w:jc w:val="both"/>
      </w:pPr>
      <w:r>
        <w:rPr>
          <w:rFonts w:ascii="Times New Roman" w:cs="Times New Roman" w:eastAsia="Times New Roman" w:hAnsi="Times New Roman"/>
          <w:sz w:val="24"/>
          <w:szCs w:val="24"/>
        </w:rPr>
        <w:t xml:space="preserve">Kempen pemasaran media sosial TVET Lipis telah dilaksanakan sepanjang enam bulan bermula Januari sehingga Jun 2026, merangkumi penerbitan kandungan organik di tiga platform serta kempen iklan berbayar di dua platform. Ringkasan keseluruhan pencapaian kempen ditunjukkan dalam Jadual 3.1, manakala huraian terperinci bagi setiap objektif dibentangkan dalam seksyen 3.3.</w:t>
      </w:r>
    </w:p>
    <w:p>
      <w:pPr>
        <w:spacing w:after="120" w:before="240" w:line="276"/>
      </w:pPr>
      <w:r>
        <w:rPr>
          <w:rFonts w:ascii="Times New Roman" w:cs="Times New Roman" w:eastAsia="Times New Roman" w:hAnsi="Times New Roman"/>
          <w:b/>
          <w:bCs/>
          <w:sz w:val="22"/>
          <w:szCs w:val="22"/>
        </w:rPr>
        <w:t xml:space="preserve">Jadual 3.1: Ringkasan Keseluruhan Pencapaian Kempen (Januari – Jun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Pr>
          <w:p>
            <w:pPr>
              <w:spacing w:after="40" w:before="40" w:line="276"/>
              <w:jc w:val="left"/>
            </w:pPr>
            <w:r>
              <w:rPr>
                <w:rFonts w:ascii="Times New Roman" w:cs="Times New Roman" w:eastAsia="Times New Roman" w:hAnsi="Times New Roman"/>
                <w:b/>
                <w:bCs/>
                <w:sz w:val="20"/>
                <w:szCs w:val="20"/>
              </w:rPr>
              <w:t xml:space="preserve">Perkara</w:t>
            </w:r>
          </w:p>
        </w:tc>
        <w:tc>
          <w:tcPr>
            <w:tcW w:type="dxa" w:w="4500"/>
            <w:shd w:fill="D9D9D9" w:color="auto" w:val="clear"/>
          </w:tcPr>
          <w:p>
            <w:pPr>
              <w:spacing w:after="40" w:before="40" w:line="276"/>
              <w:jc w:val="left"/>
            </w:pPr>
            <w:r>
              <w:rPr>
                <w:rFonts w:ascii="Times New Roman" w:cs="Times New Roman" w:eastAsia="Times New Roman" w:hAnsi="Times New Roman"/>
                <w:b/>
                <w:bCs/>
                <w:sz w:val="20"/>
                <w:szCs w:val="20"/>
              </w:rPr>
              <w:t xml:space="preserve">Pencapaian</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Tempoh kempen</w:t>
            </w:r>
          </w:p>
        </w:tc>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Januari – Jun 2026 (6 bulan)</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Platform kandungan organik</w:t>
            </w:r>
          </w:p>
        </w:tc>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TikTok, Instagram, Facebook</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Platform iklan berbayar</w:t>
            </w:r>
          </w:p>
        </w:tc>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Meta Ads, TikTok Ads</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tayangan iklan (impressions)</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2,370,268</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klik (clicks)</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23,056</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perbelanjaan iklan (ad spend)</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RM11,267.97</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prospek dijana (leads)</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3,470</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Kos purata setiap prospek (CPL)</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RM3.25</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pelajar berdaftar</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76</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Kos setiap pelajar berdaftar (CPA)</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RM154.36</w:t>
            </w:r>
          </w:p>
        </w:tc>
      </w:tr>
    </w:tbl>
    <w:p>
      <w:pPr>
        <w:spacing w:after="240" w:before="60" w:line="276"/>
      </w:pPr>
      <w:r>
        <w:rPr>
          <w:rFonts w:ascii="Times New Roman" w:cs="Times New Roman" w:eastAsia="Times New Roman" w:hAnsi="Times New Roman"/>
          <w:i/>
          <w:iCs/>
          <w:sz w:val="20"/>
          <w:szCs w:val="20"/>
        </w:rPr>
        <w:t xml:space="preserve">Nota: Perbelanjaan iklan (ad spend), tayangan (impressions) dan klik (clicks) diperoleh daripada Meta Ads Manager dan TikTok Ads Manager, manakala bilangan prospek (leads) diperoleh daripada sistem CRM.</w:t>
      </w:r>
    </w:p>
    <w:p>
      <w:pPr>
        <w:spacing w:after="200" w:before="360" w:line="360" w:lineRule="auto"/>
      </w:pPr>
      <w:r>
        <w:rPr>
          <w:rFonts w:ascii="Times New Roman" w:cs="Times New Roman" w:eastAsia="Times New Roman" w:hAnsi="Times New Roman"/>
          <w:b/>
          <w:bCs/>
          <w:sz w:val="24"/>
          <w:szCs w:val="24"/>
        </w:rPr>
        <w:t xml:space="preserve">3.3  ANALISIS</w:t>
      </w:r>
    </w:p>
    <w:p>
      <w:pPr>
        <w:spacing w:after="180" w:before="300" w:line="360" w:lineRule="auto"/>
      </w:pPr>
      <w:r>
        <w:rPr>
          <w:rFonts w:ascii="Times New Roman" w:cs="Times New Roman" w:eastAsia="Times New Roman" w:hAnsi="Times New Roman"/>
          <w:b/>
          <w:bCs/>
          <w:sz w:val="24"/>
          <w:szCs w:val="24"/>
        </w:rPr>
        <w:t xml:space="preserve">Objektif 1: Merancang dan melaksanakan kempen pemasaran media sosial yang berstruktur</w:t>
      </w:r>
    </w:p>
    <w:p>
      <w:pPr>
        <w:spacing w:after="120" w:before="240" w:line="276"/>
      </w:pPr>
      <w:r>
        <w:rPr>
          <w:rFonts w:ascii="Times New Roman" w:cs="Times New Roman" w:eastAsia="Times New Roman" w:hAnsi="Times New Roman"/>
          <w:b/>
          <w:bCs/>
          <w:sz w:val="22"/>
          <w:szCs w:val="22"/>
        </w:rPr>
        <w:t xml:space="preserve">Jadual 3.2: Pelaksanaan Kempen Mengikut Saluran (Januari – Jun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800"/>
        <w:gridCol w:w="2200"/>
      </w:tblGrid>
      <w:tr>
        <w:trPr>
          <w:tblHeader/>
        </w:trPr>
        <w:tc>
          <w:tcPr>
            <w:tcW w:type="dxa" w:w="1800"/>
            <w:shd w:fill="D9D9D9" w:color="auto" w:val="clear"/>
          </w:tcPr>
          <w:p>
            <w:pPr>
              <w:spacing w:after="40" w:before="40" w:line="276"/>
              <w:jc w:val="left"/>
            </w:pPr>
            <w:r>
              <w:rPr>
                <w:rFonts w:ascii="Times New Roman" w:cs="Times New Roman" w:eastAsia="Times New Roman" w:hAnsi="Times New Roman"/>
                <w:b/>
                <w:bCs/>
                <w:sz w:val="20"/>
                <w:szCs w:val="20"/>
              </w:rPr>
              <w:t xml:space="preserve">Saluran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Jenis</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Tempoh Pelaksanaan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Status</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TikTok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Kandungan organik</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Instagram</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Kandungan organik</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 (127 siaran)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Facebook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Kandungan organik</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Meta Ads</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Iklan berbayar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 (6 bulan)</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TikTok Ads</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Iklan berbayar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Mac – Jun 2026 (4 bulan)</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Objektif pertama telah dicapai. Kempen pemasaran media sosial berjaya dirancang dan dilaksanakan secara berstruktur merentas lima saluran sepanjang tempoh enam bulan. Kalendar kandungan bulanan telah dibangunkan berpandukan enam tema kandungan seperti yang dinyatakan dalam Bab 2, dengan sekurang-kurangnya satu kandungan baharu diterbitkan setiap minggu.</w:t>
      </w:r>
    </w:p>
    <w:p>
      <w:pPr>
        <w:spacing w:after="240" w:before="0" w:line="360" w:lineRule="auto"/>
        <w:jc w:val="both"/>
      </w:pPr>
      <w:r>
        <w:rPr>
          <w:rFonts w:ascii="Times New Roman" w:cs="Times New Roman" w:eastAsia="Times New Roman" w:hAnsi="Times New Roman"/>
          <w:sz w:val="24"/>
          <w:szCs w:val="24"/>
        </w:rPr>
        <w:t xml:space="preserve">Kempen iklan berbayar Meta Ads dilancarkan pada Januari 2026, diikuti dengan pelancaran TikTok Ads pada Mac 2026. Pemilihan bulan Mac bagi pelancaran TikTok Ads adalah keputusan yang dirancang, iaitu bersempena dengan tempoh menghampiri pengumuman keputusan SPM apabila bakal pelajar mula meninjau pilihan pengajian lanjutan.</w:t>
      </w:r>
    </w:p>
    <w:p>
      <w:pPr>
        <w:spacing w:after="120" w:before="240" w:line="276"/>
      </w:pPr>
      <w:r>
        <w:rPr>
          <w:rFonts w:ascii="Times New Roman" w:cs="Times New Roman" w:eastAsia="Times New Roman" w:hAnsi="Times New Roman"/>
          <w:b/>
          <w:bCs/>
          <w:sz w:val="22"/>
          <w:szCs w:val="22"/>
        </w:rPr>
        <w:t xml:space="preserve">Jadual 3.3: Kandungan Berprestasi Tertinggi Mengikut 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400"/>
      </w:tblGrid>
      <w:tr>
        <w:trPr>
          <w:tblHeader/>
        </w:trPr>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Tema Kandungan</w:t>
            </w:r>
          </w:p>
        </w:tc>
        <w:tc>
          <w:tcPr>
            <w:tcW w:type="dxa" w:w="3800"/>
            <w:shd w:fill="D9D9D9" w:color="auto" w:val="clear"/>
          </w:tcPr>
          <w:p>
            <w:pPr>
              <w:spacing w:after="40" w:before="40" w:line="276"/>
              <w:jc w:val="left"/>
            </w:pPr>
            <w:r>
              <w:rPr>
                <w:rFonts w:ascii="Times New Roman" w:cs="Times New Roman" w:eastAsia="Times New Roman" w:hAnsi="Times New Roman"/>
                <w:b/>
                <w:bCs/>
                <w:sz w:val="20"/>
                <w:szCs w:val="20"/>
              </w:rPr>
              <w:t xml:space="preserve">Contoh Kandungan</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Tontonan (video views)</w:t>
            </w:r>
          </w:p>
        </w:tc>
      </w:tr>
      <w:tr>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Motivasi dan peluang kedua</w:t>
            </w:r>
          </w:p>
        </w:tc>
        <w:tc>
          <w:tcPr>
            <w:tcW w:type="dxa" w:w="3800"/>
          </w:tcPr>
          <w:p>
            <w:pPr>
              <w:spacing w:after="40" w:before="40" w:line="276"/>
              <w:jc w:val="left"/>
            </w:pPr>
            <w:r>
              <w:rPr>
                <w:rFonts w:ascii="Times New Roman" w:cs="Times New Roman" w:eastAsia="Times New Roman" w:hAnsi="Times New Roman"/>
                <w:b w:val="false"/>
                <w:bCs w:val="false"/>
                <w:sz w:val="20"/>
                <w:szCs w:val="20"/>
              </w:rPr>
              <w:t xml:space="preserve">Ini adalah peluang kedua anda!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3,800,000</w:t>
            </w:r>
          </w:p>
        </w:tc>
      </w:tr>
      <w:tr>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Maklumat untuk ibu bapa</w:t>
            </w:r>
          </w:p>
        </w:tc>
        <w:tc>
          <w:tcPr>
            <w:tcW w:type="dxa" w:w="3800"/>
          </w:tcPr>
          <w:p>
            <w:pPr>
              <w:spacing w:after="40" w:before="40" w:line="276"/>
              <w:jc w:val="left"/>
            </w:pPr>
            <w:r>
              <w:rPr>
                <w:rFonts w:ascii="Times New Roman" w:cs="Times New Roman" w:eastAsia="Times New Roman" w:hAnsi="Times New Roman"/>
                <w:b w:val="false"/>
                <w:bCs w:val="false"/>
                <w:sz w:val="20"/>
                <w:szCs w:val="20"/>
              </w:rPr>
              <w:t xml:space="preserve">Perhatian Kepada Ibu Bapa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502,900</w:t>
            </w:r>
          </w:p>
        </w:tc>
      </w:tr>
      <w:tr>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Kandungan tempatan</w:t>
            </w:r>
          </w:p>
        </w:tc>
        <w:tc>
          <w:tcPr>
            <w:tcW w:type="dxa" w:w="3800"/>
          </w:tcPr>
          <w:p>
            <w:pPr>
              <w:spacing w:after="40" w:before="40" w:line="276"/>
              <w:jc w:val="left"/>
            </w:pPr>
            <w:r>
              <w:rPr>
                <w:rFonts w:ascii="Times New Roman" w:cs="Times New Roman" w:eastAsia="Times New Roman" w:hAnsi="Times New Roman"/>
                <w:b w:val="false"/>
                <w:bCs w:val="false"/>
                <w:sz w:val="20"/>
                <w:szCs w:val="20"/>
              </w:rPr>
              <w:t xml:space="preserve">Tempat Makan Underrated Kuala Lipis</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99,400</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Kandungan berprestasi tertinggi berasal daripada tiga tema yang berbeza, menunjukkan kalendar kandungan yang dirancang berjaya dilaksanakan dan setiap tema memberi sumbangan tersendiri. Kandungan bertema motivasi disasarkan kepada segmen pelajar, kandungan bertema maklumat ibu bapa kepada segmen ibu bapa, manakala kandungan tempatan berperanan membina kesedaran jenama dalam kalangan audiens setempat.</w:t>
      </w:r>
    </w:p>
    <w:p>
      <w:pPr>
        <w:spacing w:after="180" w:before="300" w:line="360" w:lineRule="auto"/>
      </w:pPr>
      <w:r>
        <w:rPr>
          <w:rFonts w:ascii="Times New Roman" w:cs="Times New Roman" w:eastAsia="Times New Roman" w:hAnsi="Times New Roman"/>
          <w:b/>
          <w:bCs/>
          <w:sz w:val="24"/>
          <w:szCs w:val="24"/>
        </w:rPr>
        <w:t xml:space="preserve">Objektif 2: Menganalisis jangkauan dan penglibatan audiens</w:t>
      </w:r>
    </w:p>
    <w:p>
      <w:pPr>
        <w:spacing w:after="120" w:before="240" w:line="276"/>
      </w:pPr>
      <w:r>
        <w:rPr>
          <w:rFonts w:ascii="Times New Roman" w:cs="Times New Roman" w:eastAsia="Times New Roman" w:hAnsi="Times New Roman"/>
          <w:b/>
          <w:bCs/>
          <w:sz w:val="22"/>
          <w:szCs w:val="22"/>
        </w:rPr>
        <w:t xml:space="preserve">Jadual 3.4: Prestasi Kempen Iklan Berbayar Mengikut Platform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shd w:fill="D9D9D9" w:color="auto" w:val="clear"/>
          </w:tcPr>
          <w:p>
            <w:pPr>
              <w:spacing w:after="40" w:before="40" w:line="276"/>
              <w:jc w:val="left"/>
            </w:pPr>
            <w:r>
              <w:rPr>
                <w:rFonts w:ascii="Times New Roman" w:cs="Times New Roman" w:eastAsia="Times New Roman" w:hAnsi="Times New Roman"/>
                <w:b/>
                <w:bCs/>
                <w:sz w:val="20"/>
                <w:szCs w:val="20"/>
              </w:rPr>
              <w:t xml:space="preserve">Metrik</w:t>
            </w:r>
          </w:p>
        </w:tc>
        <w:tc>
          <w:tcPr>
            <w:tcW w:type="dxa" w:w="2000"/>
            <w:shd w:fill="D9D9D9" w:color="auto" w:val="clear"/>
          </w:tcPr>
          <w:p>
            <w:pPr>
              <w:spacing w:after="40" w:before="40" w:line="276"/>
              <w:jc w:val="left"/>
            </w:pPr>
            <w:r>
              <w:rPr>
                <w:rFonts w:ascii="Times New Roman" w:cs="Times New Roman" w:eastAsia="Times New Roman" w:hAnsi="Times New Roman"/>
                <w:b/>
                <w:bCs/>
                <w:sz w:val="20"/>
                <w:szCs w:val="20"/>
              </w:rPr>
              <w:t xml:space="preserve">Meta Ads</w:t>
            </w:r>
          </w:p>
        </w:tc>
        <w:tc>
          <w:tcPr>
            <w:tcW w:type="dxa" w:w="2000"/>
            <w:shd w:fill="D9D9D9" w:color="auto" w:val="clear"/>
          </w:tcPr>
          <w:p>
            <w:pPr>
              <w:spacing w:after="40" w:before="40" w:line="276"/>
              <w:jc w:val="left"/>
            </w:pPr>
            <w:r>
              <w:rPr>
                <w:rFonts w:ascii="Times New Roman" w:cs="Times New Roman" w:eastAsia="Times New Roman" w:hAnsi="Times New Roman"/>
                <w:b/>
                <w:bCs/>
                <w:sz w:val="20"/>
                <w:szCs w:val="20"/>
              </w:rPr>
              <w:t xml:space="preserve">TikTok Ads</w:t>
            </w:r>
          </w:p>
        </w:tc>
        <w:tc>
          <w:tcPr>
            <w:tcW w:type="dxa" w:w="2000"/>
            <w:shd w:fill="D9D9D9" w:color="auto" w:val="clear"/>
          </w:tcPr>
          <w:p>
            <w:pPr>
              <w:spacing w:after="40" w:before="40" w:line="276"/>
              <w:jc w:val="left"/>
            </w:pPr>
            <w:r>
              <w:rPr>
                <w:rFonts w:ascii="Times New Roman" w:cs="Times New Roman" w:eastAsia="Times New Roman" w:hAnsi="Times New Roman"/>
                <w:b/>
                <w:bCs/>
                <w:sz w:val="20"/>
                <w:szCs w:val="20"/>
              </w:rPr>
              <w:t xml:space="preserve">Jumlah</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Perbelanjaan (ad spend)</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RM8,936.21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RM2,331.76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RM11,267.97</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Tayangan (impressions)</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1,332,527</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1,037,741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2,370,268</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Klik (clicks)</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11,765</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11,291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23,056</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Kadar klik lalu (CTR)</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0.88%</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1.09%</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0.97%</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Kos per klik (CPC)</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RM0.76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RM0.21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RM0.49</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Prospek (leads)</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2,336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1,134</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3,470</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Kos per prospek (CPL)</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RM3.83</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RM2.06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RM3.25</w:t>
            </w:r>
          </w:p>
        </w:tc>
      </w:tr>
    </w:tbl>
    <w:p>
      <w:pPr>
        <w:spacing w:after="240" w:before="60" w:line="276"/>
      </w:pPr>
      <w:r>
        <w:rPr>
          <w:rFonts w:ascii="Times New Roman" w:cs="Times New Roman" w:eastAsia="Times New Roman" w:hAnsi="Times New Roman"/>
          <w:i/>
          <w:iCs/>
          <w:sz w:val="20"/>
          <w:szCs w:val="20"/>
        </w:rPr>
        <w:t xml:space="preserve">Nota: Bilangan klik Meta Ads dikira daripada perbelanjaan dibahagikan dengan kos per klik (CPC) yang dilaporkan oleh Meta Ads Manager.</w:t>
      </w:r>
    </w:p>
    <w:p>
      <w:pPr>
        <w:spacing w:after="240" w:before="0" w:line="360" w:lineRule="auto"/>
        <w:jc w:val="both"/>
      </w:pPr>
      <w:r>
        <w:rPr>
          <w:rFonts w:ascii="Times New Roman" w:cs="Times New Roman" w:eastAsia="Times New Roman" w:hAnsi="Times New Roman"/>
          <w:sz w:val="24"/>
          <w:szCs w:val="24"/>
        </w:rPr>
        <w:t xml:space="preserve">Objektif kedua telah dicapai. Kempen iklan berbayar menghasilkan 2,370,268 tayangan dan 23,056 klik sepanjang tempoh enam bulan. Jumlah ini jauh melebihi apa yang mampu dicapai melalui kandungan organik sahaja, memandangkan bilangan pengikut institusi di semua platform hanya kira-kira 13,965 akaun. Dapatan ini menyelesaikan masalah pertama yang dikenal pasti dalam Bab 1, iaitu jangkauan organik yang rendah dan bergantung kepada faktor yang tidak dapat dikawal.</w:t>
      </w:r>
    </w:p>
    <w:p>
      <w:pPr>
        <w:spacing w:after="240" w:before="0" w:line="360" w:lineRule="auto"/>
        <w:jc w:val="both"/>
      </w:pPr>
      <w:r>
        <w:rPr>
          <w:rFonts w:ascii="Times New Roman" w:cs="Times New Roman" w:eastAsia="Times New Roman" w:hAnsi="Times New Roman"/>
          <w:sz w:val="24"/>
          <w:szCs w:val="24"/>
        </w:rPr>
        <w:t xml:space="preserve">Perbandingan antara kedua-dua platform menunjukkan perbezaan kecekapan yang ketara. Kedua-dua platform menghasilkan jumlah klik yang hampir sama iaitu 11,765 bagi Meta Ads dan 11,291 bagi TikTok Ads, namun Meta Ads memerlukan perbelanjaan hampir empat kali ganda untuk mencapainya. Kos per klik TikTok Ads adalah 72.8% lebih rendah manakala kadar klik lalu pula 23.2% lebih tinggi berbanding Meta Ads.</w:t>
      </w:r>
    </w:p>
    <w:p>
      <w:pPr>
        <w:spacing w:after="120" w:before="240" w:line="276"/>
      </w:pPr>
      <w:r>
        <w:rPr>
          <w:rFonts w:ascii="Times New Roman" w:cs="Times New Roman" w:eastAsia="Times New Roman" w:hAnsi="Times New Roman"/>
          <w:b/>
          <w:bCs/>
          <w:sz w:val="22"/>
          <w:szCs w:val="22"/>
        </w:rPr>
        <w:t xml:space="preserve">Jadual 3.5: Pengagihan Perbelanjaan Iklan Mengikut Segmen Umur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800"/>
        <w:gridCol w:w="1400"/>
      </w:tblGrid>
      <w:tr>
        <w:trPr>
          <w:tblHeader/>
        </w:trPr>
        <w:tc>
          <w:tcPr>
            <w:tcW w:type="dxa" w:w="2600"/>
            <w:shd w:fill="D9D9D9" w:color="auto" w:val="clear"/>
          </w:tcPr>
          <w:p>
            <w:pPr>
              <w:spacing w:after="40" w:before="40" w:line="276"/>
              <w:jc w:val="left"/>
            </w:pPr>
            <w:r>
              <w:rPr>
                <w:rFonts w:ascii="Times New Roman" w:cs="Times New Roman" w:eastAsia="Times New Roman" w:hAnsi="Times New Roman"/>
                <w:b/>
                <w:bCs/>
                <w:sz w:val="20"/>
                <w:szCs w:val="20"/>
              </w:rPr>
              <w:t xml:space="preserve">Segmen Umur</w:t>
            </w:r>
          </w:p>
        </w:tc>
        <w:tc>
          <w:tcPr>
            <w:tcW w:type="dxa" w:w="1800"/>
            <w:shd w:fill="D9D9D9" w:color="auto" w:val="clear"/>
          </w:tcPr>
          <w:p>
            <w:pPr>
              <w:spacing w:after="40" w:before="40" w:line="276"/>
              <w:jc w:val="left"/>
            </w:pPr>
            <w:r>
              <w:rPr>
                <w:rFonts w:ascii="Times New Roman" w:cs="Times New Roman" w:eastAsia="Times New Roman" w:hAnsi="Times New Roman"/>
                <w:b/>
                <w:bCs/>
                <w:sz w:val="20"/>
                <w:szCs w:val="20"/>
              </w:rPr>
              <w:t xml:space="preserve">Meta Ads (RM)</w:t>
            </w:r>
          </w:p>
        </w:tc>
        <w:tc>
          <w:tcPr>
            <w:tcW w:type="dxa" w:w="1400"/>
            <w:shd w:fill="D9D9D9" w:color="auto" w:val="clear"/>
          </w:tcPr>
          <w:p>
            <w:pPr>
              <w:spacing w:after="40" w:before="40" w:line="276"/>
              <w:jc w:val="left"/>
            </w:pPr>
            <w:r>
              <w:rPr>
                <w:rFonts w:ascii="Times New Roman" w:cs="Times New Roman" w:eastAsia="Times New Roman" w:hAnsi="Times New Roman"/>
                <w:b/>
                <w:bCs/>
                <w:sz w:val="20"/>
                <w:szCs w:val="20"/>
              </w:rPr>
              <w:t xml:space="preserve">Peratus</w:t>
            </w:r>
          </w:p>
        </w:tc>
        <w:tc>
          <w:tcPr>
            <w:tcW w:type="dxa" w:w="1800"/>
            <w:shd w:fill="D9D9D9" w:color="auto" w:val="clear"/>
          </w:tcPr>
          <w:p>
            <w:pPr>
              <w:spacing w:after="40" w:before="40" w:line="276"/>
              <w:jc w:val="left"/>
            </w:pPr>
            <w:r>
              <w:rPr>
                <w:rFonts w:ascii="Times New Roman" w:cs="Times New Roman" w:eastAsia="Times New Roman" w:hAnsi="Times New Roman"/>
                <w:b/>
                <w:bCs/>
                <w:sz w:val="20"/>
                <w:szCs w:val="20"/>
              </w:rPr>
              <w:t xml:space="preserve">TikTok Ads (RM)</w:t>
            </w:r>
          </w:p>
        </w:tc>
        <w:tc>
          <w:tcPr>
            <w:tcW w:type="dxa" w:w="1400"/>
            <w:shd w:fill="D9D9D9" w:color="auto" w:val="clear"/>
          </w:tcPr>
          <w:p>
            <w:pPr>
              <w:spacing w:after="40" w:before="40" w:line="276"/>
              <w:jc w:val="left"/>
            </w:pPr>
            <w:r>
              <w:rPr>
                <w:rFonts w:ascii="Times New Roman" w:cs="Times New Roman" w:eastAsia="Times New Roman" w:hAnsi="Times New Roman"/>
                <w:b/>
                <w:bCs/>
                <w:sz w:val="20"/>
                <w:szCs w:val="20"/>
              </w:rPr>
              <w:t xml:space="preserve">Peratus</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18 – 34 tahun (segmen pelajar)</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6,488.25</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72.6%</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2,329.85</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99.9%</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35 – 64 tahun (segmen ibu bapa)</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2,386.65</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26.7%</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65 tahun ke atas</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61.08</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0.7%</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Tidak diketahui</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1.91</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0.1%</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JUMLAH</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8,936.21</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100%</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2,331.76</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100%</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Pengagihan perbelanjaan iklan menunjukkan strategi penyasaran yang berbeza bagi setiap platform. Bagi Meta Ads, belanjawan diagihkan kepada kedua-dua segmen audiens iaitu 72.6% kepada segmen pelajar dan 26.7% kepada segmen ibu bapa. Bagi TikTok Ads pula, keseluruhan belanjawan disasarkan kepada segmen pelajar sahaja tanpa set iklan bagi segmen ibu bapa.</w:t>
      </w:r>
    </w:p>
    <w:p>
      <w:pPr>
        <w:spacing w:after="240" w:before="0" w:line="360" w:lineRule="auto"/>
        <w:jc w:val="both"/>
      </w:pPr>
      <w:r>
        <w:rPr>
          <w:rFonts w:ascii="Times New Roman" w:cs="Times New Roman" w:eastAsia="Times New Roman" w:hAnsi="Times New Roman"/>
          <w:sz w:val="24"/>
          <w:szCs w:val="24"/>
        </w:rPr>
        <w:t xml:space="preserve">Perbezaan ini merupakan keputusan penyasaran yang dibuat berdasarkan profil pengguna setiap platform. Facebook mempunyai kadar penggunaan yang tinggi dalam kalangan golongan dewasa berumur 35 tahun ke atas, menjadikannya saluran yang sesuai untuk menjangkau ibu bapa dan penjaga. TikTok pula didominasi oleh pengguna berumur muda, menjadikannya saluran yang lebih berkesan untuk menjangkau bakal pelajar secara langsung.</w:t>
      </w:r>
    </w:p>
    <w:p>
      <w:pPr>
        <w:spacing w:after="180" w:before="300" w:line="360" w:lineRule="auto"/>
      </w:pPr>
      <w:r>
        <w:rPr>
          <w:rFonts w:ascii="Times New Roman" w:cs="Times New Roman" w:eastAsia="Times New Roman" w:hAnsi="Times New Roman"/>
          <w:b/>
          <w:bCs/>
          <w:sz w:val="24"/>
          <w:szCs w:val="24"/>
        </w:rPr>
        <w:t xml:space="preserve">Objektif 3: Menilai keberkesanan kempen dalam menjana prospek pelajar</w:t>
      </w:r>
    </w:p>
    <w:p>
      <w:pPr>
        <w:spacing w:after="120" w:before="240" w:line="276"/>
      </w:pPr>
      <w:r>
        <w:rPr>
          <w:rFonts w:ascii="Times New Roman" w:cs="Times New Roman" w:eastAsia="Times New Roman" w:hAnsi="Times New Roman"/>
          <w:b/>
          <w:bCs/>
          <w:sz w:val="22"/>
          <w:szCs w:val="22"/>
        </w:rPr>
        <w:t xml:space="preserve">Jadual 3.6: Bilangan Prospek Mengikut Bulan dan Platform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Bulan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Meta Ads</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TikTok Ads</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Jumlah</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Januari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345</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345</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Februari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133</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133</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Mac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778</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783</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April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798</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560</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1,358</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Mei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226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315</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541</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Jun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254</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310</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JUMLAH</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2,336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1,134</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3,470</w:t>
            </w:r>
          </w:p>
        </w:tc>
      </w:tr>
    </w:tbl>
    <w:p>
      <w:r>
        <w:rPr>
          <w:rFonts w:ascii="Times New Roman" w:cs="Times New Roman" w:eastAsia="Times New Roman" w:hAnsi="Times New Roman"/>
          <w:sz w:val="24"/>
          <w:szCs w:val="24"/>
        </w:rPr>
        <w:t xml:space="preserve"/>
      </w:r>
    </w:p>
    <w:p>
      <w:pPr>
        <w:spacing w:after="120" w:before="120"/>
        <w:jc w:val="center"/>
      </w:pPr>
      <w:r>
        <w:drawing>
          <wp:inline distT="0" distB="0" distL="0" distR="0">
            <wp:extent cx="5334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86100"/>
                    </a:xfrm>
                    <a:prstGeom prst="rect">
                      <a:avLst/>
                    </a:prstGeom>
                  </pic:spPr>
                </pic:pic>
              </a:graphicData>
            </a:graphic>
          </wp:inline>
        </w:drawing>
      </w:r>
    </w:p>
    <w:p>
      <w:pPr>
        <w:spacing w:after="120" w:before="240" w:line="276"/>
      </w:pPr>
      <w:r>
        <w:rPr>
          <w:rFonts w:ascii="Times New Roman" w:cs="Times New Roman" w:eastAsia="Times New Roman" w:hAnsi="Times New Roman"/>
          <w:b/>
          <w:bCs/>
          <w:sz w:val="22"/>
          <w:szCs w:val="22"/>
        </w:rPr>
        <w:t xml:space="preserve">Rajah 3.1: Bilangan Prospek Mengikut Bulan dan Platform</w:t>
      </w:r>
    </w:p>
    <w:p>
      <w:pPr>
        <w:spacing w:after="240" w:before="0" w:line="360" w:lineRule="auto"/>
        <w:jc w:val="both"/>
      </w:pPr>
      <w:r>
        <w:rPr>
          <w:rFonts w:ascii="Times New Roman" w:cs="Times New Roman" w:eastAsia="Times New Roman" w:hAnsi="Times New Roman"/>
          <w:sz w:val="24"/>
          <w:szCs w:val="24"/>
        </w:rPr>
        <w:t xml:space="preserve">Bilangan prospek tertinggi dicatatkan pada April 2026 dengan 1,358 prospek, iaitu tempoh selepas pengumuman keputusan SPM apabila bakal pelajar aktif mencari pilihan pengajian. Keputusan melancarkan TikTok Ads pada Mac 2026 terbukti tepat apabila platform tersebut menyumbang 560 prospek pada bulan April sahaja.</w:t>
      </w:r>
    </w:p>
    <w:p>
      <w:pPr>
        <w:spacing w:after="240" w:before="0" w:line="360" w:lineRule="auto"/>
        <w:jc w:val="both"/>
      </w:pPr>
      <w:r>
        <w:rPr>
          <w:rFonts w:ascii="Times New Roman" w:cs="Times New Roman" w:eastAsia="Times New Roman" w:hAnsi="Times New Roman"/>
          <w:sz w:val="24"/>
          <w:szCs w:val="24"/>
        </w:rPr>
        <w:t xml:space="preserve">Menjelang Mei dan Jun 2026, TikTok Ads mengatasi Meta Ads sebagai sumber prospek utama. Dua faktor menyumbang kepada perubahan ini. Pertama, peruntukan belanjawan telah dialihkan kepada TikTok Ads berikutan prestasi yang ditunjukkan pada April. Kedua, TikTok Ads mencatatkan kos per prospek yang lebih rendah sepanjang tempoh kempen iaitu RM2.06 berbanding RM3.83 bagi Meta Ads, menjadikan setiap ringgit yang dibelanjakan menghasilkan lebih banyak prospek. Prestasi Meta Ads turut menurun sebanyak 93% daripada 798 prospek pada April kepada 56 prospek pada Jun.</w:t>
      </w:r>
    </w:p>
    <w:p>
      <w:pPr>
        <w:spacing w:after="120" w:before="240" w:line="276"/>
      </w:pPr>
      <w:r>
        <w:rPr>
          <w:rFonts w:ascii="Times New Roman" w:cs="Times New Roman" w:eastAsia="Times New Roman" w:hAnsi="Times New Roman"/>
          <w:b/>
          <w:bCs/>
          <w:sz w:val="22"/>
          <w:szCs w:val="22"/>
        </w:rPr>
        <w:t xml:space="preserve">Jadual 3.7: Bilangan Prospek Mengikut Kursus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D9D9D9" w:color="auto" w:val="clear"/>
          </w:tcPr>
          <w:p>
            <w:pPr>
              <w:spacing w:after="40" w:before="40" w:line="276"/>
              <w:jc w:val="left"/>
            </w:pPr>
            <w:r>
              <w:rPr>
                <w:rFonts w:ascii="Times New Roman" w:cs="Times New Roman" w:eastAsia="Times New Roman" w:hAnsi="Times New Roman"/>
                <w:b/>
                <w:bCs/>
                <w:sz w:val="20"/>
                <w:szCs w:val="20"/>
              </w:rPr>
              <w:t xml:space="preserve">Kursus</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Bilangan Prospek</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Peratusan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Pendidikan Awal Kanak-Kanak (PAKK)</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1,903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54.8%</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Pra-Sekolah</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753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21.7%</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Multimedia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572</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16.5%</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Elektrik</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240</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6.9%</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Lain-lain</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0.1%</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JUMLAH</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3,470</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100%</w:t>
            </w:r>
          </w:p>
        </w:tc>
      </w:tr>
    </w:tbl>
    <w:p>
      <w:r>
        <w:rPr>
          <w:rFonts w:ascii="Times New Roman" w:cs="Times New Roman" w:eastAsia="Times New Roman" w:hAnsi="Times New Roman"/>
          <w:sz w:val="24"/>
          <w:szCs w:val="24"/>
        </w:rPr>
        <w:t xml:space="preserve"/>
      </w:r>
    </w:p>
    <w:p>
      <w:pPr>
        <w:spacing w:after="120" w:before="120"/>
        <w:jc w:val="center"/>
      </w:pPr>
      <w:r>
        <w:drawing>
          <wp:inline distT="0" distB="0" distL="0" distR="0">
            <wp:extent cx="4381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543300"/>
                    </a:xfrm>
                    <a:prstGeom prst="rect">
                      <a:avLst/>
                    </a:prstGeom>
                  </pic:spPr>
                </pic:pic>
              </a:graphicData>
            </a:graphic>
          </wp:inline>
        </w:drawing>
      </w:r>
    </w:p>
    <w:p>
      <w:pPr>
        <w:spacing w:after="120" w:before="240" w:line="276"/>
      </w:pPr>
      <w:r>
        <w:rPr>
          <w:rFonts w:ascii="Times New Roman" w:cs="Times New Roman" w:eastAsia="Times New Roman" w:hAnsi="Times New Roman"/>
          <w:b/>
          <w:bCs/>
          <w:sz w:val="22"/>
          <w:szCs w:val="22"/>
        </w:rPr>
        <w:t xml:space="preserve">Rajah 3.2: Bilangan Prospek Mengikut Kursus</w:t>
      </w:r>
    </w:p>
    <w:p>
      <w:pPr>
        <w:spacing w:after="240" w:before="0" w:line="360" w:lineRule="auto"/>
        <w:jc w:val="both"/>
      </w:pPr>
      <w:r>
        <w:rPr>
          <w:rFonts w:ascii="Times New Roman" w:cs="Times New Roman" w:eastAsia="Times New Roman" w:hAnsi="Times New Roman"/>
          <w:sz w:val="24"/>
          <w:szCs w:val="24"/>
        </w:rPr>
        <w:t xml:space="preserve">Kursus Pendidikan Awal Kanak-Kanak mencatatkan permintaan tertinggi dengan 1,903 prospek atau 54.8% daripada keseluruhan. Gabungan program Pendidikan Awal Kanak-Kanak dan Pra-Sekolah pula mewakili 76.5% daripada jumlah prospek, menunjukkan permintaan yang jelas tertumpu kepada bidang pendidikan awal kanak-kanak.</w:t>
      </w:r>
    </w:p>
    <w:p>
      <w:pPr>
        <w:spacing w:after="120" w:before="240" w:line="276"/>
      </w:pPr>
      <w:r>
        <w:rPr>
          <w:rFonts w:ascii="Times New Roman" w:cs="Times New Roman" w:eastAsia="Times New Roman" w:hAnsi="Times New Roman"/>
          <w:b/>
          <w:bCs/>
          <w:sz w:val="22"/>
          <w:szCs w:val="22"/>
        </w:rPr>
        <w:t xml:space="preserve">Jadual 3.8: Sepuluh Negeri Tertinggi Mengikut Bilangan Prospek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D9D9D9" w:color="auto" w:val="clear"/>
          </w:tcPr>
          <w:p>
            <w:pPr>
              <w:spacing w:after="40" w:before="40" w:line="276"/>
              <w:jc w:val="left"/>
            </w:pPr>
            <w:r>
              <w:rPr>
                <w:rFonts w:ascii="Times New Roman" w:cs="Times New Roman" w:eastAsia="Times New Roman" w:hAnsi="Times New Roman"/>
                <w:b/>
                <w:bCs/>
                <w:sz w:val="20"/>
                <w:szCs w:val="20"/>
              </w:rPr>
              <w:t xml:space="preserve">Negeri</w:t>
            </w:r>
          </w:p>
        </w:tc>
        <w:tc>
          <w:tcPr>
            <w:tcW w:type="dxa" w:w="3600"/>
            <w:shd w:fill="D9D9D9" w:color="auto" w:val="clear"/>
          </w:tcPr>
          <w:p>
            <w:pPr>
              <w:spacing w:after="40" w:before="40" w:line="276"/>
              <w:jc w:val="left"/>
            </w:pPr>
            <w:r>
              <w:rPr>
                <w:rFonts w:ascii="Times New Roman" w:cs="Times New Roman" w:eastAsia="Times New Roman" w:hAnsi="Times New Roman"/>
                <w:b/>
                <w:bCs/>
                <w:sz w:val="20"/>
                <w:szCs w:val="20"/>
              </w:rPr>
              <w:t xml:space="preserve">Bilangan Prospek</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Selangor</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443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Kelantan</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401</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Pahang</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293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Johor</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261</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Terengganu</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186</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Kedah</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183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Perak</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173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Sabah</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129</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Negeri Sembilan</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97</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Kuala Lumpur</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76</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Prospek diterima daripada seluruh negara termasuk Sabah, membuktikan kempen berjaya mengatasi batasan geografi yang menjadi cabaran utama institusi. Selangor mencatatkan bilangan tertinggi walaupun kempen tidak menjadikan negeri tersebut sebagai tumpuan utama, manakala Pahang sebagai negeri institusi berada di kedudukan ketiga dengan 293 prospek.</w:t>
      </w:r>
    </w:p>
    <w:p>
      <w:pPr>
        <w:spacing w:after="120" w:before="240" w:line="276"/>
      </w:pPr>
      <w:r>
        <w:rPr>
          <w:rFonts w:ascii="Times New Roman" w:cs="Times New Roman" w:eastAsia="Times New Roman" w:hAnsi="Times New Roman"/>
          <w:b/>
          <w:bCs/>
          <w:sz w:val="22"/>
          <w:szCs w:val="22"/>
        </w:rPr>
        <w:t xml:space="preserve">Jadual 3.9: Penukaran Prospek kepada Pelajar Berdaftar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D9D9D9" w:color="auto" w:val="clear"/>
          </w:tcPr>
          <w:p>
            <w:pPr>
              <w:spacing w:after="40" w:before="40" w:line="276"/>
              <w:jc w:val="left"/>
            </w:pPr>
            <w:r>
              <w:rPr>
                <w:rFonts w:ascii="Times New Roman" w:cs="Times New Roman" w:eastAsia="Times New Roman" w:hAnsi="Times New Roman"/>
                <w:b/>
                <w:bCs/>
                <w:sz w:val="20"/>
                <w:szCs w:val="20"/>
              </w:rPr>
              <w:t xml:space="preserve">Perkara</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Bilangan</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Peratusan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Jumlah prospek dijana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3,470</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100%</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Jumlah pelajar berdaftar</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76</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2.19%</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Daripada saluran digital</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73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96.1%</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Daripada pemasaran luar talian</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3.9%</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Kadar penukaran prospek kepada pelajar</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2.10%</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Sebanyak 76 pelajar telah mendaftar sepanjang tempoh Januari hingga Jun 2026, dengan 73 daripadanya berasal daripada saluran digital sama ada secara langsung melalui borang prospek atau melalui cadangan rakan yang mengetahui TVET Lipis menerusi media sosial. Ini bermakna 96.1% pendaftaran pelajar dalam tempoh tersebut berpunca daripada aktiviti pemasaran digital.</w:t>
      </w:r>
    </w:p>
    <w:p>
      <w:pPr>
        <w:spacing w:after="240" w:before="0" w:line="360" w:lineRule="auto"/>
        <w:jc w:val="both"/>
      </w:pPr>
      <w:r>
        <w:rPr>
          <w:rFonts w:ascii="Times New Roman" w:cs="Times New Roman" w:eastAsia="Times New Roman" w:hAnsi="Times New Roman"/>
          <w:sz w:val="24"/>
          <w:szCs w:val="24"/>
        </w:rPr>
        <w:t xml:space="preserve">Kadar penukaran sebanyak 2.10% merupakan angka yang direkodkan sehingga Jun 2026. Angka ini dijangka meningkat kerana sebahagian prospek yang mengisi borang pada awal tahun berkemungkinan hanya membuat keputusan pendaftaran pada suku ketiga atau keempat tahun yang sama.</w:t>
      </w:r>
    </w:p>
    <w:p>
      <w:pPr>
        <w:spacing w:after="120" w:before="240" w:line="276"/>
      </w:pPr>
      <w:r>
        <w:rPr>
          <w:rFonts w:ascii="Times New Roman" w:cs="Times New Roman" w:eastAsia="Times New Roman" w:hAnsi="Times New Roman"/>
          <w:b/>
          <w:bCs/>
          <w:sz w:val="22"/>
          <w:szCs w:val="22"/>
        </w:rPr>
        <w:t xml:space="preserve">Jadual 3.10: Kos Bagi Setiap Pelajar Berdaftar Berbanding Kos Sasaran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D9D9D9" w:color="auto" w:val="clear"/>
          </w:tcPr>
          <w:p>
            <w:pPr>
              <w:spacing w:after="40" w:before="40" w:line="276"/>
              <w:jc w:val="left"/>
            </w:pPr>
            <w:r>
              <w:rPr>
                <w:rFonts w:ascii="Times New Roman" w:cs="Times New Roman" w:eastAsia="Times New Roman" w:hAnsi="Times New Roman"/>
                <w:b/>
                <w:bCs/>
                <w:sz w:val="20"/>
                <w:szCs w:val="20"/>
              </w:rPr>
              <w:t xml:space="preserve">Perkara</w:t>
            </w:r>
          </w:p>
        </w:tc>
        <w:tc>
          <w:tcPr>
            <w:tcW w:type="dxa" w:w="4000"/>
            <w:shd w:fill="D9D9D9" w:color="auto" w:val="clear"/>
          </w:tcPr>
          <w:p>
            <w:pPr>
              <w:spacing w:after="40" w:before="40" w:line="276"/>
              <w:jc w:val="left"/>
            </w:pPr>
            <w:r>
              <w:rPr>
                <w:rFonts w:ascii="Times New Roman" w:cs="Times New Roman" w:eastAsia="Times New Roman" w:hAnsi="Times New Roman"/>
                <w:b/>
                <w:bCs/>
                <w:sz w:val="20"/>
                <w:szCs w:val="20"/>
              </w:rPr>
              <w:t xml:space="preserve">Nilai</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Jumlah perbelanjaan iklan</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RM11,267.97</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Pelajar berdaftar daripada saluran digital</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73</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Kos bagi setiap pelajar berdaftar (CPA)</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RM154.36</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Kos sasaran pengambilan pelajar (target CPA)</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RM500.00</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Perbezaan berbanding kos sasaran</w:t>
            </w:r>
          </w:p>
        </w:tc>
        <w:tc>
          <w:tcPr>
            <w:tcW w:type="dxa" w:w="4000"/>
          </w:tcPr>
          <w:p>
            <w:pPr>
              <w:spacing w:after="40" w:before="40" w:line="276"/>
              <w:jc w:val="left"/>
            </w:pPr>
            <w:r>
              <w:rPr>
                <w:rFonts w:ascii="Times New Roman" w:cs="Times New Roman" w:eastAsia="Times New Roman" w:hAnsi="Times New Roman"/>
                <w:b w:val="false"/>
                <w:bCs w:val="false"/>
                <w:sz w:val="20"/>
                <w:szCs w:val="20"/>
              </w:rPr>
              <w:t xml:space="preserve">69.1% lebih rendah</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Kos sasaran pengambilan pelajar sebanyak RM500 merupakan kadar yuran ejen yang lazimnya dibayar institusi kepada ejen bagi setiap pelajar yang berjaya didaftarkan. Kadar ini telah wujud sebelum kempen dilaksanakan dan digunakan sebagai siling kos dalam cadangan kempen iklan berbayar.</w:t>
      </w:r>
    </w:p>
    <w:p>
      <w:pPr>
        <w:spacing w:after="240" w:before="0" w:line="360" w:lineRule="auto"/>
        <w:jc w:val="both"/>
      </w:pPr>
      <w:r>
        <w:rPr>
          <w:rFonts w:ascii="Times New Roman" w:cs="Times New Roman" w:eastAsia="Times New Roman" w:hAnsi="Times New Roman"/>
          <w:sz w:val="24"/>
          <w:szCs w:val="24"/>
        </w:rPr>
        <w:t xml:space="preserve">Kempen mencatatkan kos sebanyak RM154.36 bagi setiap pelajar berdaftar, iaitu 69.1% lebih rendah daripada kos sasaran. Berbanding membayar yuran ejen bagi 73 pelajar yang sama, kempen ini menjimatkan kira-kira RM25,232. Perlu dinyatakan bahawa kos ini merangkumi perbelanjaan iklan sahaja dan tidak termasuk kos masa kakitangan atau kos pemasaran luar talian.</w:t>
      </w:r>
    </w:p>
    <w:p>
      <w:r>
        <w:br w:type="page"/>
      </w:r>
    </w:p>
    <w:p>
      <w:pPr>
        <w:spacing w:after="240" w:before="0"/>
        <w:jc w:val="center"/>
      </w:pPr>
      <w:r>
        <w:rPr>
          <w:rFonts w:ascii="Times New Roman" w:cs="Times New Roman" w:eastAsia="Times New Roman" w:hAnsi="Times New Roman"/>
          <w:b/>
          <w:bCs/>
          <w:sz w:val="24"/>
          <w:szCs w:val="24"/>
        </w:rPr>
        <w:t xml:space="preserve">BAB 4</w:t>
      </w:r>
    </w:p>
    <w:p>
      <w:pPr>
        <w:spacing w:after="480" w:before="0"/>
        <w:jc w:val="center"/>
      </w:pPr>
      <w:r>
        <w:rPr>
          <w:rFonts w:ascii="Times New Roman" w:cs="Times New Roman" w:eastAsia="Times New Roman" w:hAnsi="Times New Roman"/>
          <w:b/>
          <w:bCs/>
          <w:sz w:val="24"/>
          <w:szCs w:val="24"/>
        </w:rPr>
        <w:t xml:space="preserve">PERBINCANGAN, CADANGAN DAN KESIMPULAN</w:t>
      </w:r>
    </w:p>
    <w:p>
      <w:pPr>
        <w:spacing w:after="200" w:before="360" w:line="360" w:lineRule="auto"/>
      </w:pPr>
      <w:r>
        <w:rPr>
          <w:rFonts w:ascii="Times New Roman" w:cs="Times New Roman" w:eastAsia="Times New Roman" w:hAnsi="Times New Roman"/>
          <w:b/>
          <w:bCs/>
          <w:sz w:val="24"/>
          <w:szCs w:val="24"/>
        </w:rPr>
        <w:t xml:space="preserve">4.1  PENGENALAN</w:t>
      </w:r>
    </w:p>
    <w:p>
      <w:pPr>
        <w:spacing w:after="240" w:before="0" w:line="360" w:lineRule="auto"/>
        <w:jc w:val="both"/>
      </w:pPr>
      <w:r>
        <w:rPr>
          <w:rFonts w:ascii="Times New Roman" w:cs="Times New Roman" w:eastAsia="Times New Roman" w:hAnsi="Times New Roman"/>
          <w:sz w:val="24"/>
          <w:szCs w:val="24"/>
        </w:rPr>
        <w:t xml:space="preserve">Bab ini membincangkan dapatan yang diperoleh dalam Bab 3 dengan lebih mendalam serta mengaitkannya dengan objektif projek dan permasalahan yang dikenal pasti dalam Bab 1. Bab ini juga mengemukakan cadangan penambahbaikan bagi pelaksanaan kempen pemasaran media sosial pada masa hadapan, dan seterusnya merumuskan keseluruhan projek yang telah dilaksanakan.</w:t>
      </w:r>
    </w:p>
    <w:p>
      <w:pPr>
        <w:spacing w:after="200" w:before="360" w:line="360" w:lineRule="auto"/>
      </w:pPr>
      <w:r>
        <w:rPr>
          <w:rFonts w:ascii="Times New Roman" w:cs="Times New Roman" w:eastAsia="Times New Roman" w:hAnsi="Times New Roman"/>
          <w:b/>
          <w:bCs/>
          <w:sz w:val="24"/>
          <w:szCs w:val="24"/>
        </w:rPr>
        <w:t xml:space="preserve">4.2  PERBINCANGAN</w:t>
      </w:r>
    </w:p>
    <w:p>
      <w:pPr>
        <w:spacing w:after="240" w:before="0" w:line="360" w:lineRule="auto"/>
        <w:jc w:val="both"/>
      </w:pPr>
      <w:r>
        <w:rPr>
          <w:rFonts w:ascii="Times New Roman" w:cs="Times New Roman" w:eastAsia="Times New Roman" w:hAnsi="Times New Roman"/>
          <w:sz w:val="24"/>
          <w:szCs w:val="24"/>
        </w:rPr>
        <w:t xml:space="preserve">Perbincangan ini menumpukan kepada enam dapatan utama yang diperoleh daripada pelaksanaan kempen pemasaran media sosial TVET Lipis.</w:t>
      </w:r>
    </w:p>
    <w:p>
      <w:pPr>
        <w:spacing w:after="240" w:before="0" w:line="360" w:lineRule="auto"/>
        <w:jc w:val="both"/>
      </w:pPr>
      <w:r>
        <w:rPr>
          <w:rFonts w:ascii="Times New Roman" w:cs="Times New Roman" w:eastAsia="Times New Roman" w:hAnsi="Times New Roman"/>
          <w:b/>
          <w:bCs/>
          <w:sz w:val="24"/>
          <w:szCs w:val="24"/>
        </w:rPr>
        <w:t xml:space="preserve">Kos pengambilan pelajar jauh di bawah kos sasaran institusi. </w:t>
      </w:r>
      <w:r>
        <w:rPr>
          <w:rFonts w:ascii="Times New Roman" w:cs="Times New Roman" w:eastAsia="Times New Roman" w:hAnsi="Times New Roman"/>
          <w:sz w:val="24"/>
          <w:szCs w:val="24"/>
        </w:rPr>
        <w:t xml:space="preserve">Dapatan paling ketara ialah kos bagi setiap pelajar berdaftar iaitu RM154.36, berbanding kos sasaran pengambilan pelajar (target cost per acquisition) sebanyak RM500 yang ditetapkan institusi. Angka RM500 ini merupakan yuran ejen (agent commission) yang lazimnya dibayar kepada ejen bagi setiap pelajar yang berjaya didaftarkan. Memandangkan institusi sudah sedia membayar kadar tersebut melalui kaedah rujukan, kadar ini digunakan sebagai siling kos bagi menilai keberkesanan kempen iklan berbayar. Pencapaian 69.1% di bawah kos sasaran bermakna kempen pemasaran media sosial merupakan kaedah pengambilan pelajar yang lebih menjimatkan berbanding kaedah rujukan sedia ada. Bagi 73 pelajar yang mendaftar melalui saluran digital, penjimatan yang diperoleh adalah kira-kira RM25,232.</w:t>
      </w:r>
    </w:p>
    <w:p>
      <w:pPr>
        <w:spacing w:after="240" w:before="0" w:line="360" w:lineRule="auto"/>
        <w:jc w:val="both"/>
      </w:pPr>
      <w:r>
        <w:rPr>
          <w:rFonts w:ascii="Times New Roman" w:cs="Times New Roman" w:eastAsia="Times New Roman" w:hAnsi="Times New Roman"/>
          <w:b/>
          <w:bCs/>
          <w:sz w:val="24"/>
          <w:szCs w:val="24"/>
        </w:rPr>
        <w:t xml:space="preserve">Iklan berbayar menyelesaikan masalah jangkauan organik yang rendah. </w:t>
      </w:r>
      <w:r>
        <w:rPr>
          <w:rFonts w:ascii="Times New Roman" w:cs="Times New Roman" w:eastAsia="Times New Roman" w:hAnsi="Times New Roman"/>
          <w:sz w:val="24"/>
          <w:szCs w:val="24"/>
        </w:rPr>
        <w:t xml:space="preserve">Masalah pertama yang dikenal pasti dalam Bab 1 ialah jangkauan organik yang terlalu rendah. Kandungan organik hanya dipaparkan kepada sebahagian kecil pengikut sedia ada, dan peluang untuk menjangkau audiens yang lebih luas bergantung sepenuhnya kepada sama ada kandungan tersebut terpilih untuk dipaparkan pada laman For You Page (FYP) atau menjadi tular. Keadaan ini tidak boleh dijadikan asas perancangan kerana ia tidak dapat dijangka dan tidak dapat dikawal. Kempen iklan berbayar pula menghasilkan 2,370,268 tayangan dan 23,056 klik secara konsisten sepanjang enam bulan. Ini mengesahkan bahawa bagi institusi yang mempunyai asas pengikut yang kecil, iklan berbayar merupakan satu keperluan dan bukan sekadar pilihan tambahan.</w:t>
      </w:r>
    </w:p>
    <w:p>
      <w:pPr>
        <w:spacing w:after="240" w:before="0" w:line="360" w:lineRule="auto"/>
        <w:jc w:val="both"/>
      </w:pPr>
      <w:r>
        <w:rPr>
          <w:rFonts w:ascii="Times New Roman" w:cs="Times New Roman" w:eastAsia="Times New Roman" w:hAnsi="Times New Roman"/>
          <w:b/>
          <w:bCs/>
          <w:sz w:val="24"/>
          <w:szCs w:val="24"/>
        </w:rPr>
        <w:t xml:space="preserve">TikTok Ads lebih cekap berbanding Meta Ads pada setiap peringkat. </w:t>
      </w:r>
      <w:r>
        <w:rPr>
          <w:rFonts w:ascii="Times New Roman" w:cs="Times New Roman" w:eastAsia="Times New Roman" w:hAnsi="Times New Roman"/>
          <w:sz w:val="24"/>
          <w:szCs w:val="24"/>
        </w:rPr>
        <w:t xml:space="preserve">Perbandingan antara kedua-dua platform menunjukkan TikTok Ads mencatatkan prestasi yang lebih baik pada setiap metrik kos. Kos per klik TikTok adalah 72.8% lebih rendah, kadar klik lalu 23.2% lebih tinggi, manakala kos per prospek 46.2% lebih rendah. Yang paling ketara, kedua-dua platform menghasilkan jumlah klik yang hampir sama iaitu 11,765 bagi Meta Ads dan 11,291 bagi TikTok Ads, namun Meta Ads memerlukan perbelanjaan hampir empat kali ganda untuk mencapainya. Dapatan inilah yang mendorong pengagihan semula belanjawan kepada TikTok Ads pada Mei dan Jun 2026.</w:t>
      </w:r>
    </w:p>
    <w:p>
      <w:pPr>
        <w:spacing w:after="240" w:before="0" w:line="360" w:lineRule="auto"/>
        <w:jc w:val="both"/>
      </w:pPr>
      <w:r>
        <w:rPr>
          <w:rFonts w:ascii="Times New Roman" w:cs="Times New Roman" w:eastAsia="Times New Roman" w:hAnsi="Times New Roman"/>
          <w:b/>
          <w:bCs/>
          <w:sz w:val="24"/>
          <w:szCs w:val="24"/>
        </w:rPr>
        <w:t xml:space="preserve">Penyasaran disesuaikan mengikut profil pengguna platform. </w:t>
      </w:r>
      <w:r>
        <w:rPr>
          <w:rFonts w:ascii="Times New Roman" w:cs="Times New Roman" w:eastAsia="Times New Roman" w:hAnsi="Times New Roman"/>
          <w:sz w:val="24"/>
          <w:szCs w:val="24"/>
        </w:rPr>
        <w:t xml:space="preserve">Kempen tidak menggunakan pendekatan penyasaran yang sama bagi kedua-dua platform. Bagi Meta Ads, sebanyak 72.6% belanjawan disasarkan kepada segmen pelajar dan 26.7% kepada segmen ibu bapa. Bagi TikTok Ads pula, keseluruhan belanjawan disasarkan kepada segmen pelajar sahaja. Pendekatan ini dibuat berdasarkan profil pengguna setiap platform, di mana Facebook mempunyai kadar penggunaan yang tinggi dalam kalangan golongan dewasa manakala TikTok didominasi oleh pengguna yang lebih muda.</w:t>
      </w:r>
    </w:p>
    <w:p>
      <w:pPr>
        <w:spacing w:after="240" w:before="0" w:line="360" w:lineRule="auto"/>
        <w:jc w:val="both"/>
      </w:pPr>
      <w:r>
        <w:rPr>
          <w:rFonts w:ascii="Times New Roman" w:cs="Times New Roman" w:eastAsia="Times New Roman" w:hAnsi="Times New Roman"/>
          <w:b/>
          <w:bCs/>
          <w:sz w:val="24"/>
          <w:szCs w:val="24"/>
        </w:rPr>
        <w:t xml:space="preserve">Permintaan tertumpu kepada dua program. </w:t>
      </w:r>
      <w:r>
        <w:rPr>
          <w:rFonts w:ascii="Times New Roman" w:cs="Times New Roman" w:eastAsia="Times New Roman" w:hAnsi="Times New Roman"/>
          <w:sz w:val="24"/>
          <w:szCs w:val="24"/>
        </w:rPr>
        <w:t xml:space="preserve">Data prospek menunjukkan permintaan yang tidak seimbang antara program yang ditawarkan. Kursus Pendidikan Awal Kanak-Kanak menyumbang 54.8% prospek manakala Pra-Sekolah 21.7%, iaitu gabungan 76.5% daripada keseluruhan permintaan. Walau bagaimanapun, angka ini perlu ditafsirkan dengan berhati-hati. Bilangan kandungan yang dihasilkan bagi setiap program adalah lebih kurang sama sepanjang kempen. Perbezaan permintaan ini sebahagiannya berpunca daripada struktur kempen iklan yang digunakan, di mana kesemua program digabungkan dalam satu kempen yang sama dengan set iklan dibahagikan mengikut kumpulan umur sahaja. Dalam struktur sedemikian, algoritma platform akan menyalurkan lebih banyak paparan kepada kandungan yang mencatatkan penglibatan tertinggi, sehingga mengurangkan peluang paparan bagi program lain dalam kempen yang sama.</w:t>
      </w:r>
    </w:p>
    <w:p>
      <w:pPr>
        <w:spacing w:after="240" w:before="0" w:line="360" w:lineRule="auto"/>
        <w:jc w:val="both"/>
      </w:pPr>
      <w:r>
        <w:rPr>
          <w:rFonts w:ascii="Times New Roman" w:cs="Times New Roman" w:eastAsia="Times New Roman" w:hAnsi="Times New Roman"/>
          <w:b/>
          <w:bCs/>
          <w:sz w:val="24"/>
          <w:szCs w:val="24"/>
        </w:rPr>
        <w:t xml:space="preserve">Jangkauan melangkaui batasan geografi. </w:t>
      </w:r>
      <w:r>
        <w:rPr>
          <w:rFonts w:ascii="Times New Roman" w:cs="Times New Roman" w:eastAsia="Times New Roman" w:hAnsi="Times New Roman"/>
          <w:sz w:val="24"/>
          <w:szCs w:val="24"/>
        </w:rPr>
        <w:t xml:space="preserve">Prospek diterima daripada seluruh negara termasuk Sabah, dengan Selangor mencatatkan bilangan tertinggi iaitu 443 prospek. Pahang sebagai negeri institusi hanya berada di kedudukan ketiga dengan 293 prospek. Dapatan ini membuktikan pemasaran digital mampu mengatasi kelemahan kedudukan geografi yang selama ini menghadkan keberkesanan kaedah pemasaran konvensional seperti lawatan ke sekolah dan pameran pendidikan.</w:t>
      </w:r>
    </w:p>
    <w:p>
      <w:pPr>
        <w:spacing w:after="200" w:before="360" w:line="360" w:lineRule="auto"/>
      </w:pPr>
      <w:r>
        <w:rPr>
          <w:rFonts w:ascii="Times New Roman" w:cs="Times New Roman" w:eastAsia="Times New Roman" w:hAnsi="Times New Roman"/>
          <w:b/>
          <w:bCs/>
          <w:sz w:val="24"/>
          <w:szCs w:val="24"/>
        </w:rPr>
        <w:t xml:space="preserve">4.3  CADANGAN</w:t>
      </w:r>
    </w:p>
    <w:p>
      <w:pPr>
        <w:spacing w:after="240" w:before="0" w:line="360" w:lineRule="auto"/>
        <w:jc w:val="both"/>
      </w:pPr>
      <w:r>
        <w:rPr>
          <w:rFonts w:ascii="Times New Roman" w:cs="Times New Roman" w:eastAsia="Times New Roman" w:hAnsi="Times New Roman"/>
          <w:sz w:val="24"/>
          <w:szCs w:val="24"/>
        </w:rPr>
        <w:t xml:space="preserve">Berdasarkan dapatan projek, beberapa cadangan penambahbaikan dikemukakan bagi kempen pemasaran media sosial pada masa hadapan.</w:t>
      </w:r>
    </w:p>
    <w:p>
      <w:pPr>
        <w:spacing w:after="240" w:before="0" w:line="360" w:lineRule="auto"/>
        <w:jc w:val="both"/>
      </w:pPr>
      <w:r>
        <w:rPr>
          <w:rFonts w:ascii="Times New Roman" w:cs="Times New Roman" w:eastAsia="Times New Roman" w:hAnsi="Times New Roman"/>
          <w:b/>
          <w:bCs/>
          <w:sz w:val="24"/>
          <w:szCs w:val="24"/>
        </w:rPr>
        <w:t xml:space="preserve">Pertama, menguji set iklan segmen ibu bapa di TikTok Ads. </w:t>
      </w:r>
      <w:r>
        <w:rPr>
          <w:rFonts w:ascii="Times New Roman" w:cs="Times New Roman" w:eastAsia="Times New Roman" w:hAnsi="Times New Roman"/>
          <w:sz w:val="24"/>
          <w:szCs w:val="24"/>
        </w:rPr>
        <w:t xml:space="preserve">Sepanjang kempen ini, segmen ibu bapa hanya disasarkan melalui Meta Ads. Memandangkan bilangan pengguna berumur lebih matang di TikTok semakin meningkat, dan TikTok Ads mencatatkan kos per prospek yang lebih rendah, set iklan bagi segmen ibu bapa wajar diuji di platform tersebut pada kitaran akan datang.</w:t>
      </w:r>
    </w:p>
    <w:p>
      <w:pPr>
        <w:spacing w:after="240" w:before="0" w:line="360" w:lineRule="auto"/>
        <w:jc w:val="both"/>
      </w:pPr>
      <w:r>
        <w:rPr>
          <w:rFonts w:ascii="Times New Roman" w:cs="Times New Roman" w:eastAsia="Times New Roman" w:hAnsi="Times New Roman"/>
          <w:b/>
          <w:bCs/>
          <w:sz w:val="24"/>
          <w:szCs w:val="24"/>
        </w:rPr>
        <w:t xml:space="preserve">Kedua, mengenal pasti punca penurunan prestasi Meta Ads. </w:t>
      </w:r>
      <w:r>
        <w:rPr>
          <w:rFonts w:ascii="Times New Roman" w:cs="Times New Roman" w:eastAsia="Times New Roman" w:hAnsi="Times New Roman"/>
          <w:sz w:val="24"/>
          <w:szCs w:val="24"/>
        </w:rPr>
        <w:t xml:space="preserve">Prospek daripada Meta Ads menurun sebanyak 93% daripada 798 pada April kepada 56 pada Jun 2026. Antara punca yang mungkin ialah keletihan kreatif (creative fatigue), iaitu apabila iklan yang sama dipaparkan terlalu kerap sehingga audiens tidak lagi memberi tindak balas. Kreatif iklan baharu perlu dihasilkan dan diuji sebelum kitaran pengambilan seterusnya.</w:t>
      </w:r>
    </w:p>
    <w:p>
      <w:pPr>
        <w:spacing w:after="240" w:before="0" w:line="360" w:lineRule="auto"/>
        <w:jc w:val="both"/>
      </w:pPr>
      <w:r>
        <w:rPr>
          <w:rFonts w:ascii="Times New Roman" w:cs="Times New Roman" w:eastAsia="Times New Roman" w:hAnsi="Times New Roman"/>
          <w:b/>
          <w:bCs/>
          <w:sz w:val="24"/>
          <w:szCs w:val="24"/>
        </w:rPr>
        <w:t xml:space="preserve">Ketiga, menguji kedua-dua platform secara serentak pada awal kempen. </w:t>
      </w:r>
      <w:r>
        <w:rPr>
          <w:rFonts w:ascii="Times New Roman" w:cs="Times New Roman" w:eastAsia="Times New Roman" w:hAnsi="Times New Roman"/>
          <w:sz w:val="24"/>
          <w:szCs w:val="24"/>
        </w:rPr>
        <w:t xml:space="preserve">Dalam kempen ini, keseluruhan belanjawan disalurkan kepada Meta Ads pada Januari, manakala TikTok Ads hanya dibuka pada Mac. Bagi kitaran akan datang, kedua-dua platform wajar diuji serentak dengan belanjawan kecil pada minggu pertama kempen. Kos per prospek kemudiannya dibandingkan, dan sebahagian besar belanjawan disalurkan kepada platform yang menunjukkan prestasi lebih baik.</w:t>
      </w:r>
    </w:p>
    <w:p>
      <w:pPr>
        <w:spacing w:after="240" w:before="0" w:line="360" w:lineRule="auto"/>
        <w:jc w:val="both"/>
      </w:pPr>
      <w:r>
        <w:rPr>
          <w:rFonts w:ascii="Times New Roman" w:cs="Times New Roman" w:eastAsia="Times New Roman" w:hAnsi="Times New Roman"/>
          <w:b/>
          <w:bCs/>
          <w:sz w:val="24"/>
          <w:szCs w:val="24"/>
        </w:rPr>
        <w:t xml:space="preserve">Keempat, menstruktur semula kempen iklan mengikut program. </w:t>
      </w:r>
      <w:r>
        <w:rPr>
          <w:rFonts w:ascii="Times New Roman" w:cs="Times New Roman" w:eastAsia="Times New Roman" w:hAnsi="Times New Roman"/>
          <w:sz w:val="24"/>
          <w:szCs w:val="24"/>
        </w:rPr>
        <w:t xml:space="preserve">Pada masa ini, kesemua program digabungkan dalam satu kempen dengan set iklan dibahagikan mengikut kumpulan umur sahaja. Struktur ini menyebabkan program-program bersaing untuk mendapatkan paparan dalam belanjawan yang sama, dan algoritma platform akan menumpukan paparan kepada program yang mencatatkan penglibatan tertinggi. Bagi kitaran akan datang, dicadangkan setiap program mempunyai kempen dan peruntukan belanjawan tersendiri. Pendekatan ini memastikan setiap program menerima paparan yang mencukupi, di samping membolehkan prestasi setiap program dinilai secara berasingan.</w:t>
      </w:r>
    </w:p>
    <w:p>
      <w:pPr>
        <w:spacing w:after="200" w:before="360" w:line="360" w:lineRule="auto"/>
      </w:pPr>
      <w:r>
        <w:rPr>
          <w:rFonts w:ascii="Times New Roman" w:cs="Times New Roman" w:eastAsia="Times New Roman" w:hAnsi="Times New Roman"/>
          <w:b/>
          <w:bCs/>
          <w:sz w:val="24"/>
          <w:szCs w:val="24"/>
        </w:rPr>
        <w:t xml:space="preserve">4.4  KESIMPULAN</w:t>
      </w:r>
    </w:p>
    <w:p>
      <w:pPr>
        <w:spacing w:after="240" w:before="0" w:line="360" w:lineRule="auto"/>
        <w:jc w:val="both"/>
      </w:pPr>
      <w:r>
        <w:rPr>
          <w:rFonts w:ascii="Times New Roman" w:cs="Times New Roman" w:eastAsia="Times New Roman" w:hAnsi="Times New Roman"/>
          <w:sz w:val="24"/>
          <w:szCs w:val="24"/>
        </w:rPr>
        <w:t xml:space="preserve">Projek ini telah mencapai ketiga-tiga objektif yang ditetapkan. Kempen pemasaran media sosial berjaya dirancang dan dilaksanakan secara berstruktur merentas lima saluran sepanjang enam bulan, lengkap dengan kalendar kandungan dan kempen iklan berbayar di dua platform. Prestasi kempen dianalisis berdasarkan metrik jangkauan, penglibatan, penjanaan prospek dan kos, manakala keberkesanan kempen dinilai berbanding kos sasaran pengambilan pelajar yang ditetapkan institusi.</w:t>
      </w:r>
    </w:p>
    <w:p>
      <w:pPr>
        <w:spacing w:after="240" w:before="0" w:line="360" w:lineRule="auto"/>
        <w:jc w:val="both"/>
      </w:pPr>
      <w:r>
        <w:rPr>
          <w:rFonts w:ascii="Times New Roman" w:cs="Times New Roman" w:eastAsia="Times New Roman" w:hAnsi="Times New Roman"/>
          <w:sz w:val="24"/>
          <w:szCs w:val="24"/>
        </w:rPr>
        <w:t xml:space="preserve">Kempen ini menghasilkan 3,470 prospek dengan perbelanjaan iklan sebanyak RM11,267.97, iaitu kos purata RM3.25 bagi setiap prospek. Sebanyak 76 pelajar mendaftar sepanjang tempoh tersebut, dengan 73 daripadanya atau 96.1% berpunca daripada saluran digital. Kos bagi setiap pelajar berdaftar ialah RM154.36, iaitu 69.1% lebih rendah berbanding kos sasaran RM500 yang selama ini dibayar sebagai yuran ejen. Ini bermakna kempen pemasaran media sosial bukan sahaja berjaya menjana prospek, malah melakukannya pada kos yang jauh lebih rendah berbanding kaedah pengambilan sedia ada.</w:t>
      </w:r>
    </w:p>
    <w:p>
      <w:pPr>
        <w:spacing w:after="240" w:before="0" w:line="360" w:lineRule="auto"/>
        <w:jc w:val="both"/>
      </w:pPr>
      <w:r>
        <w:rPr>
          <w:rFonts w:ascii="Times New Roman" w:cs="Times New Roman" w:eastAsia="Times New Roman" w:hAnsi="Times New Roman"/>
          <w:sz w:val="24"/>
          <w:szCs w:val="24"/>
        </w:rPr>
        <w:t xml:space="preserve">Pengajaran utama daripada projek ini ialah kecekapan kos sesuatu kempen lebih ditentukan oleh pemilihan platform dan struktur kempen berbanding saiz belanjawan. TikTok Ads menghasilkan jumlah klik yang hampir sama dengan Meta Ads walaupun menggunakan hanya satu perempat daripada perbelanjaan, manakala struktur kempen yang menggabungkan kesemua program dalam satu belanjawan menyebabkan paparan tertumpu kepada program tertentu sahaja. Kedua-dua dapatan ini menunjukkan kepentingan memantau prestasi secara berterusan dan bertindak ke atas data semasa kempen sedang berjalan, bukan hanya selepas kempen tamat.</w:t>
      </w:r>
    </w:p>
    <w:p>
      <w:pPr>
        <w:spacing w:after="240" w:before="0" w:line="360" w:lineRule="auto"/>
        <w:jc w:val="both"/>
      </w:pPr>
      <w:r>
        <w:rPr>
          <w:rFonts w:ascii="Times New Roman" w:cs="Times New Roman" w:eastAsia="Times New Roman" w:hAnsi="Times New Roman"/>
          <w:sz w:val="24"/>
          <w:szCs w:val="24"/>
        </w:rPr>
        <w:t xml:space="preserve">Pengalaman melaksanakan projek ini merangkumi penentuan saluran media sosial, penyediaan pelan kempen, perancangan kalendar kandungan, penyediaan cadangan kempen iklan berbayar, penyelarasan pelaksanaan kempen serta pengoptimuman prestasi kempen, selaras dengan kehendak unit kompetensi M731-001-4:2021-C01, Implement Social Media Marketing Campaign Plan.</w:t>
      </w:r>
    </w:p>
    <w:p>
      <w:r>
        <w:br w:type="page"/>
      </w:r>
    </w:p>
    <w:p>
      <w:pPr>
        <w:spacing w:after="240" w:before="0"/>
        <w:jc w:val="center"/>
      </w:pPr>
      <w:r>
        <w:rPr>
          <w:rFonts w:ascii="Times New Roman" w:cs="Times New Roman" w:eastAsia="Times New Roman" w:hAnsi="Times New Roman"/>
          <w:b/>
          <w:bCs/>
          <w:sz w:val="24"/>
          <w:szCs w:val="24"/>
        </w:rPr>
        <w:t xml:space="preserve"/>
      </w:r>
    </w:p>
    <w:p>
      <w:pPr>
        <w:spacing w:after="480" w:before="0"/>
        <w:jc w:val="center"/>
      </w:pPr>
      <w:r>
        <w:rPr>
          <w:rFonts w:ascii="Times New Roman" w:cs="Times New Roman" w:eastAsia="Times New Roman" w:hAnsi="Times New Roman"/>
          <w:b/>
          <w:bCs/>
          <w:sz w:val="24"/>
          <w:szCs w:val="24"/>
        </w:rPr>
        <w:t xml:space="preserve">RUJUKAN</w:t>
      </w:r>
    </w:p>
    <w:p>
      <w:pPr>
        <w:spacing w:after="240" w:before="0" w:line="360" w:lineRule="auto"/>
        <w:jc w:val="both"/>
      </w:pPr>
      <w:r>
        <w:rPr>
          <w:rFonts w:ascii="Times New Roman" w:cs="Times New Roman" w:eastAsia="Times New Roman" w:hAnsi="Times New Roman"/>
          <w:sz w:val="24"/>
          <w:szCs w:val="24"/>
        </w:rPr>
        <w:t xml:space="preserve">Jabatan Pembangunan Kemahiran. (2021). Panduan Pelaksanaan Pengiktirafan Pencapaian Terdahulu (PPT). Kementerian Sumber Manusia Malaysia.</w:t>
      </w:r>
    </w:p>
    <w:p>
      <w:pPr>
        <w:spacing w:after="240" w:before="0" w:line="360" w:lineRule="auto"/>
        <w:jc w:val="both"/>
      </w:pPr>
      <w:r>
        <w:rPr>
          <w:rFonts w:ascii="Times New Roman" w:cs="Times New Roman" w:eastAsia="Times New Roman" w:hAnsi="Times New Roman"/>
          <w:sz w:val="24"/>
          <w:szCs w:val="24"/>
        </w:rPr>
        <w:t xml:space="preserve">Jabatan Pembangunan Kemahiran. (2021). Standard Kemahiran Pekerjaan Kebangsaan M731-001-4:2021 Digital Marketing Planning and Implementation. Kementerian Sumber Manusia Malaysia.</w:t>
      </w:r>
    </w:p>
    <w:p>
      <w:pPr>
        <w:spacing w:after="240" w:before="0" w:line="360" w:lineRule="auto"/>
        <w:jc w:val="both"/>
      </w:pPr>
      <w:r>
        <w:rPr>
          <w:rFonts w:ascii="Times New Roman" w:cs="Times New Roman" w:eastAsia="Times New Roman" w:hAnsi="Times New Roman"/>
          <w:sz w:val="24"/>
          <w:szCs w:val="24"/>
        </w:rPr>
        <w:t xml:space="preserve">Meta Platforms Ireland Limited. (2026). Penyata Bil Akaun Pengiklanan 494800392480239, 1 Januari hingga 1 Julai 2026.</w:t>
      </w:r>
    </w:p>
    <w:p>
      <w:pPr>
        <w:spacing w:after="240" w:before="0" w:line="360" w:lineRule="auto"/>
        <w:jc w:val="both"/>
      </w:pPr>
      <w:r>
        <w:rPr>
          <w:rFonts w:ascii="Times New Roman" w:cs="Times New Roman" w:eastAsia="Times New Roman" w:hAnsi="Times New Roman"/>
          <w:sz w:val="24"/>
          <w:szCs w:val="24"/>
        </w:rPr>
        <w:t xml:space="preserve">Meta Platforms Inc. (2026). Laporan Prestasi Kempen Meta Ads Manager, 1 Januari hingga 30 Jun 2026.</w:t>
      </w:r>
    </w:p>
    <w:p>
      <w:pPr>
        <w:spacing w:after="240" w:before="0" w:line="360" w:lineRule="auto"/>
        <w:jc w:val="both"/>
      </w:pPr>
      <w:r>
        <w:rPr>
          <w:rFonts w:ascii="Times New Roman" w:cs="Times New Roman" w:eastAsia="Times New Roman" w:hAnsi="Times New Roman"/>
          <w:sz w:val="24"/>
          <w:szCs w:val="24"/>
        </w:rPr>
        <w:t xml:space="preserve">TikTok Pte. Ltd. (2026). Laporan Prestasi Kempen TikTok Ads Manager, 1 Januari hingga 30 Jun 2026.</w:t>
      </w:r>
    </w:p>
    <w:p>
      <w:pPr>
        <w:spacing w:after="240" w:before="0" w:line="360" w:lineRule="auto"/>
        <w:jc w:val="both"/>
      </w:pPr>
      <w:r>
        <w:rPr>
          <w:rFonts w:ascii="Times New Roman" w:cs="Times New Roman" w:eastAsia="Times New Roman" w:hAnsi="Times New Roman"/>
          <w:sz w:val="24"/>
          <w:szCs w:val="24"/>
        </w:rPr>
        <w:t xml:space="preserve">TVET Lipis. (2026). Laporan Data Prospek Sistem CRM, Januari hingga Jun 2026.</w:t>
      </w:r>
    </w:p>
    <w:p>
      <w:r>
        <w:br w:type="page"/>
      </w:r>
    </w:p>
    <w:p>
      <w:pPr>
        <w:spacing w:after="240" w:before="0"/>
        <w:jc w:val="center"/>
      </w:pPr>
      <w:r>
        <w:rPr>
          <w:rFonts w:ascii="Times New Roman" w:cs="Times New Roman" w:eastAsia="Times New Roman" w:hAnsi="Times New Roman"/>
          <w:b/>
          <w:bCs/>
          <w:sz w:val="24"/>
          <w:szCs w:val="24"/>
        </w:rPr>
        <w:t xml:space="preserve"/>
      </w:r>
    </w:p>
    <w:p>
      <w:pPr>
        <w:spacing w:after="480" w:before="0"/>
        <w:jc w:val="center"/>
      </w:pPr>
      <w:r>
        <w:rPr>
          <w:rFonts w:ascii="Times New Roman" w:cs="Times New Roman" w:eastAsia="Times New Roman" w:hAnsi="Times New Roman"/>
          <w:b/>
          <w:bCs/>
          <w:sz w:val="24"/>
          <w:szCs w:val="24"/>
        </w:rPr>
        <w:t xml:space="preserve">LAMPIRAN</w:t>
      </w:r>
    </w:p>
    <w:p>
      <w:pPr>
        <w:spacing w:after="240" w:before="0" w:line="360" w:lineRule="auto"/>
        <w:jc w:val="both"/>
      </w:pPr>
      <w:r>
        <w:rPr>
          <w:rFonts w:ascii="Times New Roman" w:cs="Times New Roman" w:eastAsia="Times New Roman" w:hAnsi="Times New Roman"/>
          <w:sz w:val="24"/>
          <w:szCs w:val="24"/>
        </w:rPr>
        <w:t xml:space="preserve">Senarai lampiran yang disertakan dalam laporan ini adalah seperti berikut:</w:t>
      </w:r>
    </w:p>
    <w:p>
      <w:r>
        <w:rPr>
          <w:rFonts w:ascii="Times New Roman" w:cs="Times New Roman" w:eastAsia="Times New Roman" w:hAnsi="Times New Roman"/>
          <w:sz w:val="24"/>
          <w:szCs w:val="24"/>
        </w:rPr>
        <w:t xml:space="preserve"/>
      </w:r>
    </w:p>
    <w:tbl>
      <w:tblPr>
        <w:tblW w:type="dxa" w:w="9000"/>
        <w:tblBorders>
          <w:top w:val="none"/>
          <w:left w:val="none"/>
          <w:bottom w:val="none"/>
          <w:right w:val="none"/>
          <w:insideH w:val="none"/>
          <w:insideV w:val="none"/>
        </w:tblBorders>
      </w:tblPr>
      <w:tblGrid>
        <w:gridCol w:w="1800"/>
        <w:gridCol w:w="7200"/>
      </w:tblGrid>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A</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Kalendar Kandungan Media Sosial (Januari – Jun 2026)</w:t>
            </w:r>
          </w:p>
        </w:tc>
      </w:tr>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B</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Tangkapan Skrin TikTok Analytics</w:t>
            </w:r>
          </w:p>
        </w:tc>
      </w:tr>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C</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Tangkapan Skrin Profil dan Kandungan TikTok</w:t>
            </w:r>
          </w:p>
        </w:tc>
      </w:tr>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D</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Tangkapan Skrin Profil Instagram</w:t>
            </w:r>
          </w:p>
        </w:tc>
      </w:tr>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E</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Tangkapan Skrin Meta Ads Manager</w:t>
            </w:r>
          </w:p>
        </w:tc>
      </w:tr>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F</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Tangkapan Skrin TikTok Ads Manager</w:t>
            </w:r>
          </w:p>
        </w:tc>
      </w:tr>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G</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Penyata Bil Meta Ads dan TikTok Ads</w:t>
            </w:r>
          </w:p>
        </w:tc>
      </w:tr>
      <w:tr>
        <w:tc>
          <w:tcPr>
            <w:tcW w:type="dxa" w:w="1800"/>
            <w:tcBorders>
              <w:top w:val="none"/>
              <w:left w:val="none"/>
              <w:bottom w:val="none"/>
              <w:right w:val="none"/>
            </w:tcBorders>
          </w:tcPr>
          <w:p>
            <w:pPr>
              <w:spacing w:after="40" w:before="40" w:line="300"/>
            </w:pPr>
            <w:r>
              <w:rPr>
                <w:rFonts w:ascii="Times New Roman" w:cs="Times New Roman" w:eastAsia="Times New Roman" w:hAnsi="Times New Roman"/>
                <w:b/>
                <w:bCs/>
                <w:sz w:val="24"/>
                <w:szCs w:val="24"/>
              </w:rPr>
              <w:t xml:space="preserve">Lampiran H</w:t>
            </w:r>
          </w:p>
        </w:tc>
        <w:tc>
          <w:tcPr>
            <w:tcW w:type="dxa" w:w="7200"/>
            <w:tcBorders>
              <w:top w:val="none"/>
              <w:left w:val="none"/>
              <w:bottom w:val="none"/>
              <w:right w:val="none"/>
            </w:tcBorders>
          </w:tcPr>
          <w:p>
            <w:pPr>
              <w:spacing w:after="40" w:before="40" w:line="300"/>
            </w:pPr>
            <w:r>
              <w:rPr>
                <w:rFonts w:ascii="Times New Roman" w:cs="Times New Roman" w:eastAsia="Times New Roman" w:hAnsi="Times New Roman"/>
                <w:b w:val="false"/>
                <w:bCs w:val="false"/>
                <w:sz w:val="24"/>
                <w:szCs w:val="24"/>
              </w:rPr>
              <w:t xml:space="preserve">Laporan Data Prospek Sistem CRM</w:t>
            </w:r>
          </w:p>
        </w:tc>
      </w:tr>
    </w:tbl>
    <w:p>
      <w:r>
        <w:br w:type="page"/>
      </w:r>
    </w:p>
    <w:p>
      <w:pPr>
        <w:spacing w:after="200" w:before="0"/>
      </w:pPr>
      <w:r>
        <w:rPr>
          <w:rFonts w:ascii="Times New Roman" w:cs="Times New Roman" w:eastAsia="Times New Roman" w:hAnsi="Times New Roman"/>
          <w:b/>
          <w:bCs/>
          <w:sz w:val="24"/>
          <w:szCs w:val="24"/>
        </w:rPr>
        <w:t xml:space="preserve">LAMPIRAN A     KALENDAR KANDUNGAN MEDIA SOSIAL</w:t>
      </w:r>
    </w:p>
    <w:p>
      <w:pPr>
        <w:spacing w:after="240" w:before="0" w:line="300"/>
        <w:jc w:val="both"/>
      </w:pPr>
      <w:r>
        <w:rPr>
          <w:rFonts w:ascii="Times New Roman" w:cs="Times New Roman" w:eastAsia="Times New Roman" w:hAnsi="Times New Roman"/>
          <w:sz w:val="22"/>
          <w:szCs w:val="22"/>
        </w:rPr>
        <w:t xml:space="preserve">Kalendar kandungan bagi tempoh Januari hingga Jun 2026 yang menunjukkan tema kandungan, tajuk, format dan platform bagi setiap kandungan yang dirancang dan diterbitkan. Kandungan yang berlatar kuning merupakan kandungan yang telah disahkan diterbitkan berdasarkan rekod TikTok Analytics.</w:t>
      </w:r>
    </w:p>
    <w:p>
      <w:pPr>
        <w:spacing w:after="120" w:before="120"/>
        <w:jc w:val="center"/>
      </w:pPr>
      <w:r>
        <w:drawing>
          <wp:inline distT="0" distB="0" distL="0" distR="0">
            <wp:extent cx="447675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5429250"/>
                    </a:xfrm>
                    <a:prstGeom prst="rect">
                      <a:avLst/>
                    </a:prstGeom>
                  </pic:spPr>
                </pic:pic>
              </a:graphicData>
            </a:graphic>
          </wp:inline>
        </w:drawing>
      </w:r>
    </w:p>
    <w:p>
      <w:r>
        <w:br w:type="page"/>
      </w:r>
    </w:p>
    <w:p>
      <w:pPr>
        <w:spacing w:after="120" w:before="120"/>
        <w:jc w:val="center"/>
      </w:pPr>
      <w:r>
        <w:drawing>
          <wp:inline distT="0" distB="0" distL="0" distR="0">
            <wp:extent cx="447675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5010150"/>
                    </a:xfrm>
                    <a:prstGeom prst="rect">
                      <a:avLst/>
                    </a:prstGeom>
                  </pic:spPr>
                </pic:pic>
              </a:graphicData>
            </a:graphic>
          </wp:inline>
        </w:drawing>
      </w:r>
    </w:p>
    <w:p>
      <w:r>
        <w:br w:type="page"/>
      </w:r>
    </w:p>
    <w:p>
      <w:pPr>
        <w:spacing w:after="200" w:before="0"/>
      </w:pPr>
      <w:r>
        <w:rPr>
          <w:rFonts w:ascii="Times New Roman" w:cs="Times New Roman" w:eastAsia="Times New Roman" w:hAnsi="Times New Roman"/>
          <w:b/>
          <w:bCs/>
          <w:sz w:val="24"/>
          <w:szCs w:val="24"/>
        </w:rPr>
        <w:t xml:space="preserve">LAMPIRAN B     TANGKAPAN SKRIN TIKTOK ANALYTICS</w:t>
      </w:r>
    </w:p>
    <w:p>
      <w:pPr>
        <w:spacing w:after="240" w:before="0" w:line="300"/>
        <w:jc w:val="both"/>
      </w:pPr>
      <w:r>
        <w:rPr>
          <w:rFonts w:ascii="Times New Roman" w:cs="Times New Roman" w:eastAsia="Times New Roman" w:hAnsi="Times New Roman"/>
          <w:sz w:val="22"/>
          <w:szCs w:val="22"/>
        </w:rPr>
        <w:t xml:space="preserve">Paparan TikTok Analytics menunjukkan prestasi keseluruhan akaun @tvet_lipis merangkumi tontonan video, jangkauan audiens dan paparan profil bagi tempoh kempen.</w:t>
      </w:r>
    </w:p>
    <w:p>
      <w:pPr>
        <w:spacing w:after="120" w:before="120"/>
        <w:jc w:val="center"/>
      </w:pPr>
      <w:r>
        <w:drawing>
          <wp:inline distT="0" distB="0" distL="0" distR="0">
            <wp:extent cx="2762250" cy="600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6000750"/>
                    </a:xfrm>
                    <a:prstGeom prst="rect">
                      <a:avLst/>
                    </a:prstGeom>
                  </pic:spPr>
                </pic:pic>
              </a:graphicData>
            </a:graphic>
          </wp:inline>
        </w:drawing>
      </w:r>
    </w:p>
    <w:p>
      <w:r>
        <w:br w:type="page"/>
      </w:r>
    </w:p>
    <w:p>
      <w:pPr>
        <w:spacing w:after="200" w:before="0"/>
      </w:pPr>
      <w:r>
        <w:rPr>
          <w:rFonts w:ascii="Times New Roman" w:cs="Times New Roman" w:eastAsia="Times New Roman" w:hAnsi="Times New Roman"/>
          <w:b/>
          <w:bCs/>
          <w:sz w:val="24"/>
          <w:szCs w:val="24"/>
        </w:rPr>
        <w:t xml:space="preserve">LAMPIRAN C     TANGKAPAN SKRIN PROFIL DAN KANDUNGAN TIKTOK</w:t>
      </w:r>
    </w:p>
    <w:p>
      <w:pPr>
        <w:spacing w:after="240" w:before="0" w:line="300"/>
        <w:jc w:val="both"/>
      </w:pPr>
      <w:r>
        <w:rPr>
          <w:rFonts w:ascii="Times New Roman" w:cs="Times New Roman" w:eastAsia="Times New Roman" w:hAnsi="Times New Roman"/>
          <w:sz w:val="22"/>
          <w:szCs w:val="22"/>
        </w:rPr>
        <w:t xml:space="preserve">Paparan profil TikTok @tvet_lipis menunjukkan bilangan pengikut, jumlah suka serta kandungan berprestasi tertinggi termasuk video bertema motivasi, maklumat untuk ibu bapa dan kandungan tempatan.</w:t>
      </w:r>
    </w:p>
    <w:p>
      <w:pPr>
        <w:spacing w:after="120" w:before="120"/>
        <w:jc w:val="center"/>
      </w:pPr>
      <w:r>
        <w:drawing>
          <wp:inline distT="0" distB="0" distL="0" distR="0">
            <wp:extent cx="2762250" cy="600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0" cy="6000750"/>
                    </a:xfrm>
                    <a:prstGeom prst="rect">
                      <a:avLst/>
                    </a:prstGeom>
                  </pic:spPr>
                </pic:pic>
              </a:graphicData>
            </a:graphic>
          </wp:inline>
        </w:drawing>
      </w:r>
    </w:p>
    <w:p>
      <w:r>
        <w:br w:type="page"/>
      </w:r>
    </w:p>
    <w:p>
      <w:pPr>
        <w:spacing w:after="200" w:before="0"/>
      </w:pPr>
      <w:r>
        <w:rPr>
          <w:rFonts w:ascii="Times New Roman" w:cs="Times New Roman" w:eastAsia="Times New Roman" w:hAnsi="Times New Roman"/>
          <w:b/>
          <w:bCs/>
          <w:sz w:val="24"/>
          <w:szCs w:val="24"/>
        </w:rPr>
        <w:t xml:space="preserve">LAMPIRAN D     TANGKAPAN SKRIN PROFIL INSTAGRAM</w:t>
      </w:r>
    </w:p>
    <w:p>
      <w:pPr>
        <w:spacing w:after="240" w:before="0" w:line="300"/>
        <w:jc w:val="both"/>
      </w:pPr>
      <w:r>
        <w:rPr>
          <w:rFonts w:ascii="Times New Roman" w:cs="Times New Roman" w:eastAsia="Times New Roman" w:hAnsi="Times New Roman"/>
          <w:sz w:val="22"/>
          <w:szCs w:val="22"/>
        </w:rPr>
        <w:t xml:space="preserve">Paparan profil Instagram @tvet_lipis menunjukkan bilangan pengikut, jumlah siaran yang diterbitkan serta paparan Professional Dashboard.</w:t>
      </w:r>
    </w:p>
    <w:p>
      <w:pPr>
        <w:spacing w:after="120" w:before="120"/>
        <w:jc w:val="center"/>
      </w:pPr>
      <w:r>
        <w:drawing>
          <wp:inline distT="0" distB="0" distL="0" distR="0">
            <wp:extent cx="2762250" cy="600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6000750"/>
                    </a:xfrm>
                    <a:prstGeom prst="rect">
                      <a:avLst/>
                    </a:prstGeom>
                  </pic:spPr>
                </pic:pic>
              </a:graphicData>
            </a:graphic>
          </wp:inline>
        </w:drawing>
      </w:r>
    </w:p>
    <w:p>
      <w:r>
        <w:br w:type="page"/>
      </w:r>
    </w:p>
    <w:p>
      <w:pPr>
        <w:spacing w:after="200" w:before="0"/>
      </w:pPr>
      <w:r>
        <w:rPr>
          <w:rFonts w:ascii="Times New Roman" w:cs="Times New Roman" w:eastAsia="Times New Roman" w:hAnsi="Times New Roman"/>
          <w:b/>
          <w:bCs/>
          <w:sz w:val="24"/>
          <w:szCs w:val="24"/>
        </w:rPr>
        <w:t xml:space="preserve">LAMPIRAN E     TANGKAPAN SKRIN META ADS MANAGER</w:t>
      </w:r>
    </w:p>
    <w:p>
      <w:pPr>
        <w:spacing w:after="240" w:before="0" w:line="300"/>
        <w:jc w:val="both"/>
      </w:pPr>
      <w:r>
        <w:rPr>
          <w:rFonts w:ascii="Times New Roman" w:cs="Times New Roman" w:eastAsia="Times New Roman" w:hAnsi="Times New Roman"/>
          <w:sz w:val="22"/>
          <w:szCs w:val="22"/>
        </w:rPr>
        <w:t xml:space="preserve">Paparan Meta Ads Manager bagi tempoh 1 Januari hingga 30 Jun 2026 menunjukkan senarai kempen, tayangan, perbelanjaan, bilangan prospek serta kos per prospek.</w:t>
      </w:r>
    </w:p>
    <w:p>
      <w:pPr>
        <w:spacing w:after="600" w:before="600"/>
        <w:jc w:val="center"/>
      </w:pPr>
      <w:r>
        <w:rPr>
          <w:rFonts w:ascii="Times New Roman" w:cs="Times New Roman" w:eastAsia="Times New Roman" w:hAnsi="Times New Roman"/>
          <w:b/>
          <w:bCs/>
          <w:color w:val="C00000"/>
          <w:sz w:val="22"/>
          <w:szCs w:val="22"/>
        </w:rPr>
        <w:t xml:space="preserve">[ SISIPKAN TANGKAPAN SKRIN DI SINI — Meta Ads Manager → Campaigns → tempoh 1 Jan – 30 Jun 2026 ]</w:t>
      </w:r>
    </w:p>
    <w:p>
      <w:r>
        <w:br w:type="page"/>
      </w:r>
    </w:p>
    <w:p>
      <w:pPr>
        <w:spacing w:after="200" w:before="0"/>
      </w:pPr>
      <w:r>
        <w:rPr>
          <w:rFonts w:ascii="Times New Roman" w:cs="Times New Roman" w:eastAsia="Times New Roman" w:hAnsi="Times New Roman"/>
          <w:b/>
          <w:bCs/>
          <w:sz w:val="24"/>
          <w:szCs w:val="24"/>
        </w:rPr>
        <w:t xml:space="preserve">LAMPIRAN F     TANGKAPAN SKRIN TIKTOK ADS MANAGER</w:t>
      </w:r>
    </w:p>
    <w:p>
      <w:pPr>
        <w:spacing w:after="240" w:before="0" w:line="300"/>
        <w:jc w:val="both"/>
      </w:pPr>
      <w:r>
        <w:rPr>
          <w:rFonts w:ascii="Times New Roman" w:cs="Times New Roman" w:eastAsia="Times New Roman" w:hAnsi="Times New Roman"/>
          <w:sz w:val="22"/>
          <w:szCs w:val="22"/>
        </w:rPr>
        <w:t xml:space="preserve">Paparan TikTok Ads Manager bagi tempoh Mac hingga Jun 2026 menunjukkan perbelanjaan, tayangan, klik dan bilangan prospek yang dijana.</w:t>
      </w:r>
    </w:p>
    <w:p>
      <w:pPr>
        <w:spacing w:after="600" w:before="600"/>
        <w:jc w:val="center"/>
      </w:pPr>
      <w:r>
        <w:rPr>
          <w:rFonts w:ascii="Times New Roman" w:cs="Times New Roman" w:eastAsia="Times New Roman" w:hAnsi="Times New Roman"/>
          <w:b/>
          <w:bCs/>
          <w:color w:val="C00000"/>
          <w:sz w:val="22"/>
          <w:szCs w:val="22"/>
        </w:rPr>
        <w:t xml:space="preserve">[ SISIPKAN TANGKAPAN SKRIN DI SINI — TikTok Ads Manager → Campaign → tempoh 1 Jan – 30 Jun 2026 ]</w:t>
      </w:r>
    </w:p>
    <w:p>
      <w:r>
        <w:br w:type="page"/>
      </w:r>
    </w:p>
    <w:p>
      <w:pPr>
        <w:spacing w:after="200" w:before="0"/>
      </w:pPr>
      <w:r>
        <w:rPr>
          <w:rFonts w:ascii="Times New Roman" w:cs="Times New Roman" w:eastAsia="Times New Roman" w:hAnsi="Times New Roman"/>
          <w:b/>
          <w:bCs/>
          <w:sz w:val="24"/>
          <w:szCs w:val="24"/>
        </w:rPr>
        <w:t xml:space="preserve">LAMPIRAN G     PENYATA BIL META ADS DAN TIKTOK ADS</w:t>
      </w:r>
    </w:p>
    <w:p>
      <w:pPr>
        <w:spacing w:after="240" w:before="0" w:line="300"/>
        <w:jc w:val="both"/>
      </w:pPr>
      <w:r>
        <w:rPr>
          <w:rFonts w:ascii="Times New Roman" w:cs="Times New Roman" w:eastAsia="Times New Roman" w:hAnsi="Times New Roman"/>
          <w:sz w:val="22"/>
          <w:szCs w:val="22"/>
        </w:rPr>
        <w:t xml:space="preserve">Penyata bil rasmi daripada Meta Platforms Ireland Limited dan rekod transaksi TikTok Ads yang mengesahkan jumlah perbelanjaan iklan sebenar sepanjang tempoh kempen.</w:t>
      </w:r>
    </w:p>
    <w:p>
      <w:pPr>
        <w:spacing w:after="600" w:before="600"/>
        <w:jc w:val="center"/>
      </w:pPr>
      <w:r>
        <w:rPr>
          <w:rFonts w:ascii="Times New Roman" w:cs="Times New Roman" w:eastAsia="Times New Roman" w:hAnsi="Times New Roman"/>
          <w:b/>
          <w:bCs/>
          <w:color w:val="C00000"/>
          <w:sz w:val="22"/>
          <w:szCs w:val="22"/>
        </w:rPr>
        <w:t xml:space="preserve">[ SISIPKAN TANGKAPAN SKRIN DI SINI — Cetak penyata bil Meta (Invoice Summary) dan rekod transaksi TikTok Ads ]</w:t>
      </w:r>
    </w:p>
    <w:p>
      <w:r>
        <w:br w:type="page"/>
      </w:r>
    </w:p>
    <w:p>
      <w:pPr>
        <w:spacing w:after="200" w:before="0"/>
      </w:pPr>
      <w:r>
        <w:rPr>
          <w:rFonts w:ascii="Times New Roman" w:cs="Times New Roman" w:eastAsia="Times New Roman" w:hAnsi="Times New Roman"/>
          <w:b/>
          <w:bCs/>
          <w:sz w:val="24"/>
          <w:szCs w:val="24"/>
        </w:rPr>
        <w:t xml:space="preserve">LAMPIRAN H     LAPORAN DATA PROSPEK SISTEM CRM</w:t>
      </w:r>
    </w:p>
    <w:p>
      <w:pPr>
        <w:spacing w:after="240" w:before="0" w:line="300"/>
        <w:jc w:val="both"/>
      </w:pPr>
      <w:r>
        <w:rPr>
          <w:rFonts w:ascii="Times New Roman" w:cs="Times New Roman" w:eastAsia="Times New Roman" w:hAnsi="Times New Roman"/>
          <w:sz w:val="22"/>
          <w:szCs w:val="22"/>
        </w:rPr>
        <w:t xml:space="preserve">Laporan data prospek daripada Sistem CRM TVET Lipis menunjukkan bilangan prospek mengikut sumber, bulan, kursus dan negeri bagi tempoh Januari hingga Jun 2026.</w:t>
      </w:r>
    </w:p>
    <w:p>
      <w:pPr>
        <w:spacing w:after="600" w:before="600"/>
        <w:jc w:val="center"/>
      </w:pPr>
      <w:r>
        <w:rPr>
          <w:rFonts w:ascii="Times New Roman" w:cs="Times New Roman" w:eastAsia="Times New Roman" w:hAnsi="Times New Roman"/>
          <w:b/>
          <w:bCs/>
          <w:color w:val="C00000"/>
          <w:sz w:val="22"/>
          <w:szCs w:val="22"/>
        </w:rPr>
        <w:t xml:space="preserve">[ SISIPKAN TANGKAPAN SKRIN DI SINI — Sistem CRM TVET Lipis → Laporan Prospek Januari – Jun 2026 ]</w:t>
      </w:r>
    </w:p>
    <w:sectPr>
      <w:footerReference w:type="default" r:id="rId7"/>
      <w:pgSz w:w="11906" w:h="16838" w:orient="portrait"/>
      <w:pgMar w:top="1411" w:right="1411" w:bottom="1411"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269a7ab73226f76ce162fb51211d461b8d5c41.png"/><Relationship Id="rId9" Type="http://schemas.openxmlformats.org/officeDocument/2006/relationships/image" Target="media/7283f816b41d3dbf45bf8f05f263ba2eb6835bdc.png"/><Relationship Id="rId10" Type="http://schemas.openxmlformats.org/officeDocument/2006/relationships/image" Target="media/54a1228397c8c9a0428b1c7719eccb9230ac14fb.png"/><Relationship Id="rId11" Type="http://schemas.openxmlformats.org/officeDocument/2006/relationships/image" Target="media/39b3f62e03929ccd240c5506b8fe57cbde62d953.png"/><Relationship Id="rId12" Type="http://schemas.openxmlformats.org/officeDocument/2006/relationships/image" Target="media/4fef1876d698627066cd3867384b0a091731732b.png"/><Relationship Id="rId13" Type="http://schemas.openxmlformats.org/officeDocument/2006/relationships/image" Target="media/1b313ebafa9cd54e964f2abce6e14a1cb31a0c04.png"/><Relationship Id="rId14" Type="http://schemas.openxmlformats.org/officeDocument/2006/relationships/image" Target="media/823212b5e8c6766a0648cd56929949f66c4be91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2026-08-19T13:47:11.740Z</dcterms:created>
  <dcterms:modified xsi:type="dcterms:W3CDTF">2026-08-19T13:47:11.752Z</dcterms:modified>
</cp:coreProperties>
</file>

<file path=docProps/custom.xml><?xml version="1.0" encoding="utf-8"?>
<Properties xmlns="http://schemas.openxmlformats.org/officeDocument/2006/custom-properties" xmlns:vt="http://schemas.openxmlformats.org/officeDocument/2006/docPropsVTypes"/>
</file>