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CU1 — Social Media Marketing</w:t>
        <w:br/>
        <w:t>Social Media Channel Setup Proposal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TVET-CU1-SMM-001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TVET Lipis — Fokus Kiara Sdn Bhd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 — Head of Sales &amp; Digital Marketing</w:t>
      </w:r>
    </w:p>
    <w:p>
      <w:pPr>
        <w:spacing w:after="40"/>
      </w:pPr>
      <w:r>
        <w:rPr>
          <w:b/>
          <w:sz w:val="20"/>
        </w:rPr>
        <w:t xml:space="preserve">Date: </w:t>
      </w:r>
      <w:r>
        <w:rPr>
          <w:sz w:val="20"/>
        </w:rPr>
        <w:t>January 2025</w:t>
      </w:r>
    </w:p>
    <w:p>
      <w:pPr>
        <w:spacing w:after="40"/>
      </w:pPr>
      <w:r>
        <w:rPr>
          <w:b/>
          <w:sz w:val="20"/>
        </w:rPr>
        <w:t xml:space="preserve">Meta Ads Account: </w:t>
      </w:r>
      <w:r>
        <w:rPr>
          <w:sz w:val="20"/>
        </w:rPr>
        <w:t>act_494800392480239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WA1 (Select Social Media Channel), WA2 (Setup Social Media Account)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rPr>
          <w:b w:val="0"/>
          <w:i w:val="0"/>
          <w:sz w:val="22"/>
        </w:rPr>
        <w:t>This proposal establishes the strategic rationale for TVET Lipis's social media channel selection for the 2026 Full-Time Intake recruitment campaign. Channel decisions are grounded in 90-day historical Meta Ads performance data (account act_494800392480239), ensuring budget allocation is directed toward platforms and audience segments demonstrating the highest engagement and lead conversion efficiency. This is a management-level planning document, not an operational execution record.</w:t>
      </w:r>
    </w:p>
    <w:p>
      <w:pPr>
        <w:pStyle w:val="Heading2"/>
        <w:jc w:val="left"/>
      </w:pPr>
      <w:r>
        <w:rPr>
          <w:color w:val="1F3864"/>
        </w:rPr>
        <w:t>2. Data Analysis</w:t>
      </w:r>
    </w:p>
    <w:p>
      <w:pPr>
        <w:pStyle w:val="Heading3"/>
        <w:jc w:val="left"/>
      </w:pPr>
      <w:r>
        <w:rPr>
          <w:color w:val="1A7A7A"/>
        </w:rPr>
        <w:t>2.1 Audience Persona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Primary: 25–44 years. 35–44 group: 439,773 impressions, CTR 1.45%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Budget weighted toward 35–44 segment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Female dominant: 238,148 impressions, CTR 1.61% vs male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Female-first creative strategy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Interests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Education + parenting content — campaign "Full Time Parents 2026" best performer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Content positioning: parent empowerment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Device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99% mobile (Android + iPhone)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All creatives designed mobile-first</w:t>
            </w:r>
          </w:p>
        </w:tc>
      </w:tr>
    </w:tbl>
    <w:p/>
    <w:p>
      <w:pPr>
        <w:pStyle w:val="Heading3"/>
        <w:jc w:val="left"/>
      </w:pPr>
      <w:r>
        <w:rPr>
          <w:color w:val="1A7A7A"/>
        </w:rPr>
        <w:t>2.2 Channel Performance Data (Last 90 Days)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Channel/Platform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Impressions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Clicks (all)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CTR (all)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Spend (MYR)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Efficiency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Facebook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434,211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7,382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1.70%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RM 3,099.27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Primary — highest volume + CTR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Instagram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246,360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2,888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1.17%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RM 1,653.60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sz w:val="18"/>
              </w:rPr>
              <w:t>Secondary — visual engagement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Audience Network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3,249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1.57%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RM 21.21</w:t>
            </w:r>
          </w:p>
        </w:tc>
        <w:tc>
          <w:tcPr>
            <w:tcW w:type="dxa" w:w="1520"/>
            <w:shd w:val="clear" w:color="auto" w:fill="F2F2F2"/>
          </w:tcPr>
          <w:p>
            <w:r>
              <w:rPr>
                <w:sz w:val="18"/>
              </w:rPr>
              <w:t>Minimal — not prioritised</w:t>
            </w:r>
          </w:p>
        </w:tc>
      </w:tr>
    </w:tbl>
    <w:p/>
    <w:p>
      <w:r>
        <w:rPr>
          <w:b w:val="0"/>
          <w:i/>
          <w:sz w:val="22"/>
        </w:rPr>
        <w:t>Industry benchmark CTR for Education/Parenting (Malaysia): 0.90%–1.20%. TVET Lipis performance (1.17%–1.70%) exceeds benchmarks across all active channels, confirming channel-product fit.</w:t>
      </w:r>
    </w:p>
    <w:p>
      <w:pPr>
        <w:pStyle w:val="Heading2"/>
        <w:jc w:val="left"/>
      </w:pPr>
      <w:r>
        <w:rPr>
          <w:color w:val="1F3864"/>
        </w:rPr>
        <w:t>3. Strategic Channel Proposal</w:t>
      </w:r>
    </w:p>
    <w:p>
      <w:r>
        <w:rPr>
          <w:b w:val="0"/>
          <w:i w:val="0"/>
          <w:sz w:val="22"/>
        </w:rPr>
        <w:t>Based on the data analysis, management approves a two-channel strategy for the 2026 intake campaign: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Content Strategy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Budget Allocation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Facebook (News Feed + Reels)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Primary — lead generation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Long-form copywriting ("PAKK Copywriting Lama"), community posts, testimonials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65% — RM 2,000/month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Instagram (Feed + Reels)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Secondary — visual awareness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High-quality visuals, student-day videos, program showcases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35% — RM 1,100/month</w:t>
            </w:r>
          </w:p>
        </w:tc>
      </w:tr>
    </w:tbl>
    <w:p/>
    <w:p>
      <w:r>
        <w:rPr>
          <w:b w:val="0"/>
          <w:i w:val="0"/>
          <w:sz w:val="22"/>
        </w:rPr>
        <w:t>TikTok is noted as an emerging channel for Gen Z audience discovery but is not budgeted for the 2026 intake cycle. A TikTok pilot is recommended for the Q3 2026 review.</w:t>
      </w:r>
    </w:p>
    <w:p>
      <w:pPr>
        <w:pStyle w:val="Heading2"/>
        <w:jc w:val="left"/>
      </w:pPr>
      <w:r>
        <w:rPr>
          <w:color w:val="1F3864"/>
        </w:rPr>
        <w:t>4. Implementation Standards</w:t>
      </w:r>
    </w:p>
    <w:p>
      <w:pPr>
        <w:pStyle w:val="ListBullet"/>
      </w:pPr>
      <w:r>
        <w:rPr>
          <w:sz w:val="20"/>
        </w:rPr>
        <w:t>All creatives designed at 1080×1920px (Reels/Stories) and 1080×1350px (Feed) — mobile-first</w:t>
      </w:r>
    </w:p>
    <w:p>
      <w:pPr>
        <w:pStyle w:val="ListBullet"/>
      </w:pPr>
      <w:r>
        <w:rPr>
          <w:sz w:val="20"/>
        </w:rPr>
        <w:t>Publishing schedule: 5 posts/week (3 Facebook, 2 Instagram)</w:t>
      </w:r>
    </w:p>
    <w:p>
      <w:pPr>
        <w:pStyle w:val="ListBullet"/>
      </w:pPr>
      <w:r>
        <w:rPr>
          <w:sz w:val="20"/>
        </w:rPr>
        <w:t>Peak posting window: 8:00 PM – 10:00 PM (based on historical engagement data)</w:t>
      </w:r>
    </w:p>
    <w:p>
      <w:pPr>
        <w:pStyle w:val="ListBullet"/>
      </w:pPr>
      <w:r>
        <w:rPr>
          <w:sz w:val="20"/>
        </w:rPr>
        <w:t>All ad accounts managed under Meta Business Suite (act_494800392480239)</w:t>
      </w:r>
    </w:p>
    <w:p>
      <w:pPr>
        <w:pStyle w:val="ListBullet"/>
      </w:pPr>
      <w:r>
        <w:rPr>
          <w:sz w:val="20"/>
        </w:rPr>
        <w:t>Facebook Page and Instagram Business Account linked and verified before campaign launch</w:t>
      </w:r>
    </w:p>
    <w:p>
      <w:pPr>
        <w:pStyle w:val="Heading2"/>
        <w:jc w:val="left"/>
      </w:pPr>
      <w:r>
        <w:rPr>
          <w:color w:val="1F3864"/>
        </w:rPr>
        <w:t>5. Management Focus — Budget &amp; Task Delegation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Monthly Budget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Annual Budget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Facebook Ads spend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2,000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24,000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Instagram Ads spend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1,100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13,200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Canva Pro (design tools)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55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660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Content creation (video/photo)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300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RM 3,600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3,455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41,460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Channel audit &amp; account setup verification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Pre-campaign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Audience persona finalization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Creative brief for designer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→ Designer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Facebook Page optimisation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Budget approval sign-off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Lee Bee Chuan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Pre-launch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 channel performance review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 (report to Lee Bee Chuan)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Monthly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 — Head of Sales &amp; Digital Marketing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</w:t>
              <w:br/>
              <w:t>Managing Director, Fokus Kiara Sdn Bhd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