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F3864"/>
        </w:rPr>
        <w:t>CU1 — Social Media Marketing</w:t>
        <w:br/>
        <w:t>Strategic Campaign Plan</w:t>
      </w:r>
    </w:p>
    <w:p>
      <w:pPr>
        <w:spacing w:after="40"/>
      </w:pPr>
      <w:r>
        <w:rPr>
          <w:b/>
          <w:sz w:val="20"/>
        </w:rPr>
        <w:t xml:space="preserve">Ref: </w:t>
      </w:r>
      <w:r>
        <w:rPr>
          <w:sz w:val="20"/>
        </w:rPr>
        <w:t>TVET-CU1-SMM-003</w:t>
      </w:r>
    </w:p>
    <w:p>
      <w:pPr>
        <w:spacing w:after="40"/>
      </w:pPr>
      <w:r>
        <w:rPr>
          <w:b/>
          <w:sz w:val="20"/>
        </w:rPr>
        <w:t xml:space="preserve">Organisation: </w:t>
      </w:r>
      <w:r>
        <w:rPr>
          <w:sz w:val="20"/>
        </w:rPr>
        <w:t>TVET Lipis — Fokus Kiara Sdn Bhd</w:t>
      </w:r>
    </w:p>
    <w:p>
      <w:pPr>
        <w:spacing w:after="40"/>
      </w:pPr>
      <w:r>
        <w:rPr>
          <w:b/>
          <w:sz w:val="20"/>
        </w:rPr>
        <w:t xml:space="preserve">Prepared by: </w:t>
      </w:r>
      <w:r>
        <w:rPr>
          <w:sz w:val="20"/>
        </w:rPr>
        <w:t>Zuriel Seong Ming Ee — Head of Sales &amp; Digital Marketing</w:t>
      </w:r>
    </w:p>
    <w:p>
      <w:pPr>
        <w:spacing w:after="40"/>
      </w:pPr>
      <w:r>
        <w:rPr>
          <w:b/>
          <w:sz w:val="20"/>
        </w:rPr>
        <w:t xml:space="preserve">Campaign: </w:t>
      </w:r>
      <w:r>
        <w:rPr>
          <w:sz w:val="20"/>
        </w:rPr>
        <w:t>2026 Full-Time Intake Recruitment</w:t>
      </w:r>
    </w:p>
    <w:p>
      <w:pPr>
        <w:spacing w:after="40"/>
      </w:pPr>
      <w:r>
        <w:rPr>
          <w:b/>
          <w:sz w:val="20"/>
        </w:rPr>
        <w:t xml:space="preserve">Campaign Window: </w:t>
      </w:r>
      <w:r>
        <w:rPr>
          <w:sz w:val="20"/>
        </w:rPr>
        <w:t>90 days (January – March 2025)</w:t>
      </w:r>
    </w:p>
    <w:p>
      <w:pPr>
        <w:spacing w:after="40"/>
      </w:pPr>
      <w:r>
        <w:rPr>
          <w:b/>
          <w:sz w:val="20"/>
        </w:rPr>
        <w:t xml:space="preserve">Work Activities Covered: </w:t>
      </w:r>
      <w:r>
        <w:rPr>
          <w:sz w:val="20"/>
        </w:rPr>
        <w:t>WA3 (Plan Social Media Campaign), WA4 (Manage Campaign)</w:t>
      </w:r>
    </w:p>
    <w:p/>
    <w:p>
      <w:pPr>
        <w:pStyle w:val="Heading2"/>
        <w:jc w:val="left"/>
      </w:pPr>
      <w:r>
        <w:rPr>
          <w:color w:val="1F3864"/>
        </w:rPr>
        <w:t>1. Strategic Purpose</w:t>
      </w:r>
    </w:p>
    <w:p>
      <w:r>
        <w:rPr>
          <w:b w:val="0"/>
          <w:i w:val="0"/>
          <w:sz w:val="22"/>
        </w:rPr>
        <w:t>This Strategic Campaign Plan defines the management framework for TVET Lipis's 2026 Full-Time Intake social media recruitment campaign. It establishes SMART objectives, resource requirements, campaign architecture, and KPI thresholds for management review. The plan operates at the planning and coordination level — operational execution details are managed within the Implementation Summary (TVET-CU1-SMM-004).</w:t>
      </w:r>
    </w:p>
    <w:p>
      <w:pPr>
        <w:pStyle w:val="Heading2"/>
        <w:jc w:val="left"/>
      </w:pPr>
      <w:r>
        <w:rPr>
          <w:color w:val="1F3864"/>
        </w:rPr>
        <w:t>2. SMART Objectives</w:t>
      </w:r>
    </w:p>
    <w:p>
      <w:r>
        <w:rPr>
          <w:b w:val="0"/>
          <w:i w:val="0"/>
          <w:sz w:val="22"/>
        </w:rPr>
        <w:t>Based on historical performance benchmark of RM 4.61 per lead (Meta Ads account act_494800392480239):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Objective Element</w:t>
            </w:r>
          </w:p>
        </w:tc>
        <w:tc>
          <w:tcPr>
            <w:tcW w:type="dxa" w:w="4561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4561"/>
            <w:shd w:val="clear" w:color="auto" w:fill="F2F2F2"/>
          </w:tcPr>
          <w:p>
            <w:r>
              <w:rPr>
                <w:sz w:val="18"/>
              </w:rPr>
              <w:t>Specific</w:t>
            </w:r>
          </w:p>
        </w:tc>
        <w:tc>
          <w:tcPr>
            <w:tcW w:type="dxa" w:w="4561"/>
            <w:shd w:val="clear" w:color="auto" w:fill="F2F2F2"/>
          </w:tcPr>
          <w:p>
            <w:r>
              <w:rPr>
                <w:sz w:val="18"/>
              </w:rPr>
              <w:t>Generate 500 qualified leads for the 2026 full-time intake via Facebook and Instagram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Measurable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Tracked via Meta Pixel, Lead Forms, and CRM (WhatsApp lead log)</w:t>
            </w:r>
          </w:p>
        </w:tc>
      </w:tr>
      <w:tr>
        <w:tc>
          <w:tcPr>
            <w:tcW w:type="dxa" w:w="4561"/>
            <w:shd w:val="clear" w:color="auto" w:fill="F2F2F2"/>
          </w:tcPr>
          <w:p>
            <w:r>
              <w:rPr>
                <w:sz w:val="18"/>
              </w:rPr>
              <w:t>Achievable</w:t>
            </w:r>
          </w:p>
        </w:tc>
        <w:tc>
          <w:tcPr>
            <w:tcW w:type="dxa" w:w="4561"/>
            <w:shd w:val="clear" w:color="auto" w:fill="F2F2F2"/>
          </w:tcPr>
          <w:p>
            <w:r>
              <w:rPr>
                <w:sz w:val="18"/>
              </w:rPr>
              <w:t>Historical CTR 1.33%–1.70%; target CPL ≤ RM 5.00; previous campaigns achieved RM 4.61/lead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Relevant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Directly supports TVET Lipis's enrollment target of 60 students per intake cycle</w:t>
            </w:r>
          </w:p>
        </w:tc>
      </w:tr>
      <w:tr>
        <w:tc>
          <w:tcPr>
            <w:tcW w:type="dxa" w:w="4561"/>
            <w:shd w:val="clear" w:color="auto" w:fill="F2F2F2"/>
          </w:tcPr>
          <w:p>
            <w:r>
              <w:rPr>
                <w:sz w:val="18"/>
              </w:rPr>
              <w:t>Time-bound</w:t>
            </w:r>
          </w:p>
        </w:tc>
        <w:tc>
          <w:tcPr>
            <w:tcW w:type="dxa" w:w="4561"/>
            <w:shd w:val="clear" w:color="auto" w:fill="F2F2F2"/>
          </w:tcPr>
          <w:p>
            <w:r>
              <w:rPr>
                <w:sz w:val="18"/>
              </w:rPr>
              <w:t>90-day window: January – March 2025. Weekly KPI review with management escalation if off-track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3. Campaign Architecture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Campaign Tier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Content Type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Budget %</w:t>
            </w:r>
          </w:p>
        </w:tc>
      </w:tr>
      <w:tr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Tier 1 — Awareness</w:t>
              <w:br/>
              <w:t>(Top of Funnel)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Reach &amp; educate parents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Cold: Parents aged 25–44, Pahang + neighbouring states, education interest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Video ("Day in the Life"), Carousel ("Why TVET?")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30% — RM 750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Tier 2 — Consideration</w:t>
              <w:br/>
              <w:t>(Mid Funnel)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Drive link clicks + enquiries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Warm: Engaged with Tier 1 content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Long-form copywriting, testimonials, program explainers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40% — RM 1,000</w:t>
            </w:r>
          </w:p>
        </w:tc>
      </w:tr>
      <w:tr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Tier 3 — Conversion</w:t>
              <w:br/>
              <w:t>(Bottom Funnel)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Lead form submissions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Hot: Retarget video viewers + profile visitors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Lead form ads, urgency "Limited Seats" posts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30% — RM 750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RM 2,500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4. Resource Allocation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Resource Category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Manpower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Zuriel Seong Ming Ee (Media Buyer + Copywriter)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Campaign strategy, ad management, copywriting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Designer (part-time)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Visual asset creation (images, carousels, video thumbnails)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Admin support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Lead follow-up, CRM data entry, WhatsApp responses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Budget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RM 2,500 – RM 3,000 (90 days)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Based on RM 5.00 target CPL × 500–600 leads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Tools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Meta Business Suite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Campaign management, reporting, audience builder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Canva / Adobe CC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Visual asset creation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Respond.io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Lead communication automation + CRM integration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Google Analytics 4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Cross-channel attribution tracking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5. KPIs &amp; Performance Thresholds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3041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3041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Escalation Trigger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Total Leads (90 days)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500 leads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&lt; 250 leads at Day 45 → campaign review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Cost Per Lead (CPL)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≤ RM 5.00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&gt; RM 7.00 CPL → pause + optimize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CTR (all)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≥ 1.30%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&lt; 1.00% → creative refresh required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Facebook CTR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≥ 1.50%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&lt; 1.20% → ad copy revision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Lead Form Completion Rate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≥ 60%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&lt; 40% → simplify form fields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Weekly Lead Volume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55+ leads/week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&lt; 30/week at Week 3 → budget reallocation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6. Management Focus — Budget &amp; Task Delegation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Budget (90 days)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Facebook Ads spend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RM 1,625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65% of total campaign budget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Instagram Ads spend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RM 875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35% of total campaign budget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Creative production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RM 450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3 video + 6 carousel assets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Tools (Respond.io, Canva)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RM 165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Monthly × 3 months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Total campaign budget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RM 3,115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Subject to management approval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041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3041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Campaign strategy &amp; brief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Zuriel Seong Ming Ee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Pre-launch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Weekly performance report to mgmt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Zuriel → Lee Bee Chuan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Weekly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Budget reallocation decisions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Lee Bee Chuan (approval required)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As needed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Creative approval (new assets)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Lee Bee Chuan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Per creative batch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90-day campaign review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Zuriel (full report)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End of campaign</w:t>
            </w:r>
          </w:p>
        </w:tc>
      </w:tr>
    </w:tbl>
    <w:p/>
    <w:p/>
    <w:p>
      <w:pPr>
        <w:pStyle w:val="Heading2"/>
        <w:jc w:val="left"/>
      </w:pPr>
      <w:r>
        <w:rPr>
          <w:color w:val="C0392B"/>
        </w:rPr>
        <w:t>Approval Section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Prepared by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Zuriel Seong Ming Ee — Head of Sales &amp; Digital Marketing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___________________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Reviewed by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[PPT Supervisor / Assessor — Pending]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___________________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___________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Approved by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Lee Bee Chuan</w:t>
              <w:br/>
              <w:t>Managing Director, Fokus Kiara Sdn Bhd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___________________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