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__________________________________________</w:t>
      </w:r>
    </w:p>
    <w:p>
      <w:pPr>
        <w:spacing w:after="160" w:before="0" w:line="360" w:lineRule="auto"/>
        <w:jc w:val="center"/>
      </w:pPr>
      <w:r>
        <w:rPr>
          <w:rFonts w:ascii="Times New Roman" w:cs="Times New Roman" w:eastAsia="Times New Roman" w:hAnsi="Times New Roman"/>
          <w:i/>
          <w:iCs/>
          <w:sz w:val="20"/>
          <w:szCs w:val="20"/>
        </w:rPr>
        <w:t xml:space="preserve">(Nama rasmi pusat bertauliah seperti dalam sijil JPK)</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_______________________________________ (No. Tauliah JPK: K16005)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Laporan Pengalaman Keterampilan Terdahulu (LPKT) ini mendokumentasikan pengalaman kerja Zuriel Seong Ming Ee dalam merancang dan melaksanakan strategi media sosial bagi meningkatkan pengambilan pelajar baharu bagi program Diploma Kemahiran Malaysia yang dipasarkan di bawah jenama "TVET Lipis" — sebuah jenama payung bagi pusat bertauliah Jabatan Pembangunan Kemahiran (No. Tauliah K16005) di Kuala Lipis, Pahang.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Tujuan LPKT ini ialah untuk mendokumentasikan pengalaman keterampilan dalam merancang Kalendar Kandungan, menerbitkan kandungan organik merentas platform TikTok, Instagram dan Facebook, serta menguruskan kempen iklan berbayar Meta Ads yang disasarkan kepada bakal pelajar berumur 17–25 tahun di Pahang dan negeri berjiran, merangkumi tempoh Januari hingga Jun 2026. Pembolehubah utama ialah keberkesanan strategi media sosial dalam menjana prospek (leads)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Instrumen yang digunakan merangkumi analitik platform (TikTok Analytics, Meta Business Suite, Google Search Console), Sistem CRM TVET Lipis untuk pengesanan prospek dalam talian, dan senarai semak kualiti kandungan. Pendekatan kajian tindakan berkitar PDCA (Plan-Do-Check-Act) digunakan sebagai kerangka pelaksanaan, manakala 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menunjukkan kempen menghasilkan 2,927,157 tontonan video di TikTok dengan jangkauan audiens 2,622,406, serta 3,470 prospek dalam talian — 2,336 (67.3%) melalui Meta Ads dan 1,134 (32.7%) melalui TikTok Ads. Prospek direkodkan daripada seluruh negara dengan Selangor (443), Kelantan (401) dan Pahang (293) sebagai penyumbang tertinggi, membuktikan keupayaan pemasaran digital mengatasi batasan geografi institusi luar bandar. Kursus PAKK mencatatkan permintaan tertinggi dengan 1,903 prospek (54.8%).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Dari segi keberkesanan kos, perbelanjaan iklan keseluruhan sebanyak RM12,292.39 menghasilkan Kos Per Prospek gabungan RM3.54. Analisis mengikut platform mendapati TikTok Ads beroperasi pada CPL RM2.03 berbanding Meta Ads RM4.28, iaitu 52.5% lebih rendah, sambil menyumbang 32.7% prospek daripada hanya 18.8% belanjawan. Pemantauan berkala turut membolehkan CPL Meta Ads diturunkan daripada RM9.65 (Februari) kepada RM3.32 (April), iaitu penambahbaikan 65.6%. Penyasaran iklan disahkan tepat dengan 86.4% prospek berumur 21 tahun ke bawah.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Lapan cadangan penambahbaikan dikemukakan mengikut keutamaan impak, dengan pelaksanaan WhatsApp Business API sebagai saluran susulan berskala sebagai keutamaan tertinggi bagi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Ads, CRM, Penjanaan Prospek, Corong Pemasaran,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LAMPIRAN ................................................................................ v</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Platform Facebook dan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Analisis Keberkesanan Kos Kempen Iklan Berbayar</w:t>
      </w:r>
    </w:p>
    <w:p>
      <w:pPr>
        <w:spacing w:after="200" w:before="0" w:line="360" w:lineRule="auto"/>
        <w:ind w:left="720"/>
      </w:pPr>
      <w:r>
        <w:rPr>
          <w:rFonts w:ascii="Times New Roman" w:cs="Times New Roman" w:eastAsia="Times New Roman" w:hAnsi="Times New Roman"/>
          <w:sz w:val="24"/>
          <w:szCs w:val="24"/>
        </w:rPr>
        <w:t xml:space="preserve">3.9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SENARAI JADUAL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w:t>
      </w:r>
    </w:p>
    <w:p>
      <w:pPr>
        <w:spacing w:after="200" w:before="0" w:line="360" w:lineRule="auto"/>
        <w:ind w:left="720"/>
      </w:pPr>
      <w:r>
        <w:rPr>
          <w:rFonts w:ascii="Times New Roman" w:cs="Times New Roman" w:eastAsia="Times New Roman" w:hAnsi="Times New Roman"/>
          <w:sz w:val="24"/>
          <w:szCs w:val="24"/>
        </w:rPr>
        <w:t xml:space="preserve">Jadual 2.1  Kerangka PESO dan Aplikasinya dalam Kempen TVET Lipis</w:t>
      </w:r>
    </w:p>
    <w:p>
      <w:pPr>
        <w:spacing w:after="200" w:before="0" w:line="360" w:lineRule="auto"/>
        <w:ind w:left="720"/>
      </w:pPr>
      <w:r>
        <w:rPr>
          <w:rFonts w:ascii="Times New Roman" w:cs="Times New Roman" w:eastAsia="Times New Roman" w:hAnsi="Times New Roman"/>
          <w:sz w:val="24"/>
          <w:szCs w:val="24"/>
        </w:rPr>
        <w:t xml:space="preserve">Jadual 2.2  Model RACE dan Metrik Pengukuran Prestasi</w:t>
      </w:r>
    </w:p>
    <w:p>
      <w:pPr>
        <w:spacing w:after="200" w:before="0" w:line="360" w:lineRule="auto"/>
        <w:ind w:left="720"/>
      </w:pPr>
      <w:r>
        <w:rPr>
          <w:rFonts w:ascii="Times New Roman" w:cs="Times New Roman" w:eastAsia="Times New Roman" w:hAnsi="Times New Roman"/>
          <w:sz w:val="24"/>
          <w:szCs w:val="24"/>
        </w:rPr>
        <w:t xml:space="preserve">Jadual 2.3  Fasa PDCA dan Aktiviti Pelaksanaan Kempen</w:t>
      </w:r>
    </w:p>
    <w:p>
      <w:pPr>
        <w:spacing w:after="200" w:before="0" w:line="360" w:lineRule="auto"/>
        <w:ind w:left="720"/>
      </w:pPr>
      <w:r>
        <w:rPr>
          <w:rFonts w:ascii="Times New Roman" w:cs="Times New Roman" w:eastAsia="Times New Roman" w:hAnsi="Times New Roman"/>
          <w:sz w:val="24"/>
          <w:szCs w:val="24"/>
        </w:rPr>
        <w:t xml:space="preserve">Jadual 2.4  Sumber Analitik Platform dan Data yang Dikumpulkan</w:t>
      </w:r>
    </w:p>
    <w:p>
      <w:pPr>
        <w:spacing w:after="200" w:before="0" w:line="360" w:lineRule="auto"/>
        <w:ind w:left="720"/>
      </w:pPr>
      <w:r>
        <w:rPr>
          <w:rFonts w:ascii="Times New Roman" w:cs="Times New Roman" w:eastAsia="Times New Roman" w:hAnsi="Times New Roman"/>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w:t>
      </w:r>
    </w:p>
    <w:p>
      <w:pPr>
        <w:spacing w:after="200" w:before="0" w:line="360" w:lineRule="auto"/>
        <w:ind w:left="720"/>
      </w:pPr>
      <w:r>
        <w:rPr>
          <w:rFonts w:ascii="Times New Roman" w:cs="Times New Roman" w:eastAsia="Times New Roman" w:hAnsi="Times New Roman"/>
          <w:sz w:val="24"/>
          <w:szCs w:val="24"/>
        </w:rPr>
        <w:t xml:space="preserve">Jadual 3.1   Ringkasan Pelaksanaan Kempen Media Sosial (Jan – Jun 2026)</w:t>
      </w:r>
    </w:p>
    <w:p>
      <w:pPr>
        <w:spacing w:after="200" w:before="0" w:line="360" w:lineRule="auto"/>
        <w:ind w:left="720"/>
      </w:pPr>
      <w:r>
        <w:rPr>
          <w:rFonts w:ascii="Times New Roman" w:cs="Times New Roman" w:eastAsia="Times New Roman" w:hAnsi="Times New Roman"/>
          <w:sz w:val="24"/>
          <w:szCs w:val="24"/>
        </w:rPr>
        <w:t xml:space="preserve">Jadual 3.2   Ringkasan Prestasi TikTok @tvet_lipis</w:t>
      </w:r>
    </w:p>
    <w:p>
      <w:pPr>
        <w:spacing w:after="200" w:before="0" w:line="360" w:lineRule="auto"/>
        <w:ind w:left="720"/>
      </w:pPr>
      <w:r>
        <w:rPr>
          <w:rFonts w:ascii="Times New Roman" w:cs="Times New Roman" w:eastAsia="Times New Roman" w:hAnsi="Times New Roman"/>
          <w:sz w:val="24"/>
          <w:szCs w:val="24"/>
        </w:rPr>
        <w:t xml:space="preserve">Jadual 3.3   Video TikTok 5 Teratas Mengikut Tontonan</w:t>
      </w:r>
    </w:p>
    <w:p>
      <w:pPr>
        <w:spacing w:after="200" w:before="0" w:line="360" w:lineRule="auto"/>
        <w:ind w:left="720"/>
      </w:pPr>
      <w:r>
        <w:rPr>
          <w:rFonts w:ascii="Times New Roman" w:cs="Times New Roman" w:eastAsia="Times New Roman" w:hAnsi="Times New Roman"/>
          <w:sz w:val="24"/>
          <w:szCs w:val="24"/>
        </w:rPr>
        <w:t xml:space="preserve">Jadual 3.4   Ringkasan Prestasi Instagram @tvet_lipis</w:t>
      </w:r>
    </w:p>
    <w:p>
      <w:pPr>
        <w:spacing w:after="200" w:before="0" w:line="360" w:lineRule="auto"/>
        <w:ind w:left="720"/>
      </w:pPr>
      <w:r>
        <w:rPr>
          <w:rFonts w:ascii="Times New Roman" w:cs="Times New Roman" w:eastAsia="Times New Roman" w:hAnsi="Times New Roman"/>
          <w:sz w:val="24"/>
          <w:szCs w:val="24"/>
        </w:rPr>
        <w:t xml:space="preserve">Jadual 3.5   Prestasi Facebook Organik Mengikut Bulan</w:t>
      </w:r>
    </w:p>
    <w:p>
      <w:pPr>
        <w:spacing w:after="200" w:before="0" w:line="360" w:lineRule="auto"/>
        <w:ind w:left="720"/>
      </w:pPr>
      <w:r>
        <w:rPr>
          <w:rFonts w:ascii="Times New Roman" w:cs="Times New Roman" w:eastAsia="Times New Roman" w:hAnsi="Times New Roman"/>
          <w:sz w:val="24"/>
          <w:szCs w:val="24"/>
        </w:rPr>
        <w:t xml:space="preserve">Jadual 3.6   Prestasi Meta Ads — Kempen Lead Generation</w:t>
      </w:r>
    </w:p>
    <w:p>
      <w:pPr>
        <w:spacing w:after="200" w:before="0" w:line="360" w:lineRule="auto"/>
        <w:ind w:left="720"/>
      </w:pPr>
      <w:r>
        <w:rPr>
          <w:rFonts w:ascii="Times New Roman" w:cs="Times New Roman" w:eastAsia="Times New Roman" w:hAnsi="Times New Roman"/>
          <w:sz w:val="24"/>
          <w:szCs w:val="24"/>
        </w:rPr>
        <w:t xml:space="preserve">Jadual 3.7   Prestasi Carian Organik tvetlipis.my</w:t>
      </w:r>
    </w:p>
    <w:p>
      <w:pPr>
        <w:spacing w:after="200" w:before="0" w:line="360" w:lineRule="auto"/>
        <w:ind w:left="720"/>
      </w:pPr>
      <w:r>
        <w:rPr>
          <w:rFonts w:ascii="Times New Roman" w:cs="Times New Roman" w:eastAsia="Times New Roman" w:hAnsi="Times New Roman"/>
          <w:sz w:val="24"/>
          <w:szCs w:val="24"/>
        </w:rPr>
        <w:t xml:space="preserve">Jadual 3.8   Kata Kunci Teratas (Google Search Console)</w:t>
      </w:r>
    </w:p>
    <w:p>
      <w:pPr>
        <w:spacing w:after="200" w:before="0" w:line="360" w:lineRule="auto"/>
        <w:ind w:left="720"/>
      </w:pPr>
      <w:r>
        <w:rPr>
          <w:rFonts w:ascii="Times New Roman" w:cs="Times New Roman" w:eastAsia="Times New Roman" w:hAnsi="Times New Roman"/>
          <w:sz w:val="24"/>
          <w:szCs w:val="24"/>
        </w:rPr>
        <w:t xml:space="preserve">Jadual 3.9   Jumlah Prospek Online Mengikut Sumber</w:t>
      </w:r>
    </w:p>
    <w:p>
      <w:pPr>
        <w:spacing w:after="200" w:before="0" w:line="360" w:lineRule="auto"/>
        <w:ind w:left="720"/>
      </w:pPr>
      <w:r>
        <w:rPr>
          <w:rFonts w:ascii="Times New Roman" w:cs="Times New Roman" w:eastAsia="Times New Roman" w:hAnsi="Times New Roman"/>
          <w:sz w:val="24"/>
          <w:szCs w:val="24"/>
        </w:rPr>
        <w:t xml:space="preserve">Jadual 3.10  Prospek Online Mengikut Bulan dan Saluran</w:t>
      </w:r>
    </w:p>
    <w:p>
      <w:pPr>
        <w:spacing w:after="200" w:before="0" w:line="360" w:lineRule="auto"/>
        <w:ind w:left="720"/>
      </w:pPr>
      <w:r>
        <w:rPr>
          <w:rFonts w:ascii="Times New Roman" w:cs="Times New Roman" w:eastAsia="Times New Roman" w:hAnsi="Times New Roman"/>
          <w:sz w:val="24"/>
          <w:szCs w:val="24"/>
        </w:rPr>
        <w:t xml:space="preserve">Jadual 3.11  Prospek Online Mengikut Kursus</w:t>
      </w:r>
    </w:p>
    <w:p>
      <w:pPr>
        <w:spacing w:after="200" w:before="0" w:line="360" w:lineRule="auto"/>
        <w:ind w:left="720"/>
      </w:pPr>
      <w:r>
        <w:rPr>
          <w:rFonts w:ascii="Times New Roman" w:cs="Times New Roman" w:eastAsia="Times New Roman" w:hAnsi="Times New Roman"/>
          <w:sz w:val="24"/>
          <w:szCs w:val="24"/>
        </w:rPr>
        <w:t xml:space="preserve">Jadual 3.12  Status Prospek dalam Sistem CRM</w:t>
      </w:r>
    </w:p>
    <w:p>
      <w:pPr>
        <w:spacing w:after="200" w:before="0" w:line="360" w:lineRule="auto"/>
        <w:ind w:left="720"/>
      </w:pPr>
      <w:r>
        <w:rPr>
          <w:rFonts w:ascii="Times New Roman" w:cs="Times New Roman" w:eastAsia="Times New Roman" w:hAnsi="Times New Roman"/>
          <w:sz w:val="24"/>
          <w:szCs w:val="24"/>
        </w:rPr>
        <w:t xml:space="preserve">Jadual 3.13  Profil Demografi Prospek</w:t>
      </w:r>
    </w:p>
    <w:p>
      <w:pPr>
        <w:spacing w:after="200" w:before="0" w:line="360" w:lineRule="auto"/>
        <w:ind w:left="720"/>
      </w:pPr>
      <w:r>
        <w:rPr>
          <w:rFonts w:ascii="Times New Roman" w:cs="Times New Roman" w:eastAsia="Times New Roman" w:hAnsi="Times New Roman"/>
          <w:sz w:val="24"/>
          <w:szCs w:val="24"/>
        </w:rPr>
        <w:t xml:space="preserve">Jadual 3.14  Negeri Teratas Mengikut Bilangan Prospek</w:t>
      </w:r>
    </w:p>
    <w:p>
      <w:pPr>
        <w:spacing w:after="200" w:before="0" w:line="360" w:lineRule="auto"/>
        <w:ind w:left="720"/>
      </w:pPr>
      <w:r>
        <w:rPr>
          <w:rFonts w:ascii="Times New Roman" w:cs="Times New Roman" w:eastAsia="Times New Roman" w:hAnsi="Times New Roman"/>
          <w:sz w:val="24"/>
          <w:szCs w:val="24"/>
        </w:rPr>
        <w:t xml:space="preserve">Jadual 3.15  Ringkasan Perbelanjaan dan Kos Per Prospek Mengikut Platform</w:t>
      </w:r>
    </w:p>
    <w:p>
      <w:pPr>
        <w:spacing w:after="200" w:before="0" w:line="360" w:lineRule="auto"/>
        <w:ind w:left="720"/>
      </w:pPr>
      <w:r>
        <w:rPr>
          <w:rFonts w:ascii="Times New Roman" w:cs="Times New Roman" w:eastAsia="Times New Roman" w:hAnsi="Times New Roman"/>
          <w:sz w:val="24"/>
          <w:szCs w:val="24"/>
        </w:rPr>
        <w:t xml:space="preserve">Jadual 3.16  Perbelanjaan Meta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3.17  Kecekapan Set Iklan Meta Ads Mengikut Kos Per Prospek</w:t>
      </w:r>
    </w:p>
    <w:p>
      <w:pPr>
        <w:spacing w:after="200" w:before="0" w:line="360" w:lineRule="auto"/>
        <w:ind w:left="720"/>
      </w:pPr>
      <w:r>
        <w:rPr>
          <w:rFonts w:ascii="Times New Roman" w:cs="Times New Roman" w:eastAsia="Times New Roman" w:hAnsi="Times New Roman"/>
          <w:sz w:val="24"/>
          <w:szCs w:val="24"/>
        </w:rPr>
        <w:t xml:space="preserve">Jadual 3.18  Perbelanjaan TikTok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3.19  Penilaian Pencapaian Objektif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SENARAI LAMPIRAN</w:t>
      </w:r>
    </w:p>
    <w:p>
      <w:pPr>
        <w:spacing w:after="200" w:before="0" w:line="360" w:lineRule="auto"/>
        <w:ind w:left="720"/>
      </w:pPr>
      <w:r>
        <w:rPr>
          <w:rFonts w:ascii="Times New Roman" w:cs="Times New Roman" w:eastAsia="Times New Roman" w:hAnsi="Times New Roman"/>
          <w:sz w:val="24"/>
          <w:szCs w:val="24"/>
        </w:rPr>
        <w:t xml:space="preserve">Lampiran A  Kalendar Kandungan Media Sosial (Jan – Jun 2026)</w:t>
      </w:r>
    </w:p>
    <w:p>
      <w:pPr>
        <w:spacing w:after="200" w:before="0" w:line="360" w:lineRule="auto"/>
        <w:ind w:left="720"/>
      </w:pPr>
      <w:r>
        <w:rPr>
          <w:rFonts w:ascii="Times New Roman" w:cs="Times New Roman" w:eastAsia="Times New Roman" w:hAnsi="Times New Roman"/>
          <w:sz w:val="24"/>
          <w:szCs w:val="24"/>
        </w:rPr>
        <w:t xml:space="preserve">Lampiran B  TikTok Analytics dan Prestasi Kandungan</w:t>
      </w:r>
    </w:p>
    <w:p>
      <w:pPr>
        <w:spacing w:after="200" w:before="0" w:line="360" w:lineRule="auto"/>
        <w:ind w:left="720"/>
      </w:pPr>
      <w:r>
        <w:rPr>
          <w:rFonts w:ascii="Times New Roman" w:cs="Times New Roman" w:eastAsia="Times New Roman" w:hAnsi="Times New Roman"/>
          <w:sz w:val="24"/>
          <w:szCs w:val="24"/>
        </w:rPr>
        <w:t xml:space="preserve">Lampiran C  Instagram Insights</w:t>
      </w:r>
    </w:p>
    <w:p>
      <w:pPr>
        <w:spacing w:after="200" w:before="0" w:line="360" w:lineRule="auto"/>
        <w:ind w:left="720"/>
      </w:pPr>
      <w:r>
        <w:rPr>
          <w:rFonts w:ascii="Times New Roman" w:cs="Times New Roman" w:eastAsia="Times New Roman" w:hAnsi="Times New Roman"/>
          <w:sz w:val="24"/>
          <w:szCs w:val="24"/>
        </w:rPr>
        <w:t xml:space="preserve">Lampiran D  Meta Ads Manager dan TikTok Ads Manager</w:t>
      </w:r>
    </w:p>
    <w:p>
      <w:pPr>
        <w:spacing w:after="200" w:before="0" w:line="360" w:lineRule="auto"/>
        <w:ind w:left="720"/>
      </w:pPr>
      <w:r>
        <w:rPr>
          <w:rFonts w:ascii="Times New Roman" w:cs="Times New Roman" w:eastAsia="Times New Roman" w:hAnsi="Times New Roman"/>
          <w:sz w:val="24"/>
          <w:szCs w:val="24"/>
        </w:rPr>
        <w:t xml:space="preserve">Lampiran E  Google Search Console</w:t>
      </w:r>
    </w:p>
    <w:p>
      <w:pPr>
        <w:spacing w:after="200" w:before="0" w:line="360" w:lineRule="auto"/>
        <w:ind w:left="720"/>
      </w:pPr>
      <w:r>
        <w:rPr>
          <w:rFonts w:ascii="Times New Roman" w:cs="Times New Roman" w:eastAsia="Times New Roman" w:hAnsi="Times New Roman"/>
          <w:sz w:val="24"/>
          <w:szCs w:val="24"/>
        </w:rPr>
        <w:t xml:space="preserve">Lampiran F  Data Prospek daripada Sistem CRM TVET Lipis</w:t>
      </w:r>
    </w:p>
    <w:p>
      <w:pPr>
        <w:spacing w:after="200" w:before="0" w:line="360" w:lineRule="auto"/>
        <w:ind w:left="720"/>
      </w:pPr>
      <w:r>
        <w:rPr>
          <w:rFonts w:ascii="Times New Roman" w:cs="Times New Roman" w:eastAsia="Times New Roman" w:hAnsi="Times New Roman"/>
          <w:sz w:val="24"/>
          <w:szCs w:val="24"/>
        </w:rPr>
        <w:t xml:space="preserve">Lampiran G  Contoh Kandungan Terbaik yang Diterbitkan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Pusat pendidikan kemahiran di Kuala Lipis, Pahang beroperasi di bawah pusat bertauliah Jabatan Pembangunan Kemahiran (JPK) dengan nombor tauliah K16005, terletak di Jalan Hospital, 27200 Kuala Lipis. Pusat ini menawarkan program Diploma Kemahiran Malaysia (DKM) dalam bidang Pendidikan Awal Kanak-Kanak (PAKK), Pra-Sekolah, Multimedia dan Elektrik, dengan pembiayaan melalui skim Perbadanan Tabung Pembangunan Kemahiran (PTPK).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Jenama Pemasaran "TVET Lipis". </w:t>
      </w:r>
      <w:r>
        <w:rPr>
          <w:rFonts w:ascii="Times New Roman" w:cs="Times New Roman" w:eastAsia="Times New Roman" w:hAnsi="Times New Roman"/>
          <w:sz w:val="24"/>
          <w:szCs w:val="24"/>
        </w:rPr>
        <w:t xml:space="preserve">"TVET Lipis" merupakan jenama pemasaran (marketing brand) dan bukan nama entiti yang berdaftar dengan JPK. Jenama ini dibangunkan secara strategik bagi menyatukan penawaran program daripada dua buah kolej di bawah satu identiti tunggal yang mudah dikenali. Keputusan menggunakan jenama payung ini diambil atas tiga pertimbangan pemasaran: pertama, nama rasmi kolej adalah panjang dan sukar diingati oleh bakal pelajar; kedua, istilah "TVET" telah dikenali secara meluas di Malaysia sebagai rujukan kepada pendidikan teknikal dan vokasional; dan ketiga, penggunaan satu jenama tunggal membolehkan usaha pemasaran media sosial ditumpukan kepada satu akaun bagi setiap platform, berbanding memecahkan jangkauan dan belanjawan kepada beberapa akaun berasingan.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Strategi jenama payung ini terbukti berkesan apabila kata kunci berjenama "tvet lipis" menjadi kata kunci carian organik tertinggi dengan 120 klik daripada 603 tayangan di Google (lihat seksyen 3.6), menunjukkan jenama tersebut berjaya tertanam dalam ingatan audiens sasaran. Sepanjang laporan ini, istilah "TVET Lipis" merujuk kepada jenama pemasaran tersebut, manakala urusan pentauliahan dan pensijilan kekal di bawah entiti berdaftar JPK K16005.</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FF6600"/>
          <w:sz w:val="22"/>
          <w:szCs w:val="22"/>
        </w:rPr>
        <w:t xml:space="preserve">[ ⚠️  DATA DIPERLUKAN: SAHKAN: Rekod akaun TikTok Ads menunjukkan nama entiti "Kolej Islam Antarabangsa Cawangan Kuala Lipis". Sahkan sama ada entiti ini yang memegang tauliah JPK K16005, dan nyatakan nama rasmi kolej kedua yang turut berada di bawah jenama TVET Lipis. Maklumat ini perlu tepat kerana ia muncul di muka hadapan dan halaman pengesahan LPKT.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Kedudukan geografi yang jauh daripada pusat bandar utama menghadkan keberkesanan kaedah pemasaran konvensional seperti lawatan sekolah, pameran pendidikan dan risalah cetak, yang terikat kepada jarak fizikal dan kos perjalanan.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kerana ia membolehkan institusi menjangkau bakal pelajar tanpa terikat kepada sempadan geografi. Bagi golongan belia lepasan SPM yang menjadi audiens sasaran utama TVET Lipis, platform video pendek seperti TikTok dan Instagram Reels merupakan saluran maklumat harian yang dominan (Datareportal, 2024). Kaplan dan Haenlein (2010) menegaskan bahawa media sosial mengubah hubungan organisasi-pengguna daripada komunikasi sehala kepada interaksi dua hala, manakala Rutter, Roper dan Lettice (2016) mendapati aktiviti media sosial institusi pendidikan mempunyai hubungan positif dengan prestasi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konteks ini, TVET Lipis telah melaksanakan kempen pemasaran media sosial bersepadu sepanjang Januari hingga Jun 2026, menggabungkan kandungan organik di TikTok, Instagram dan Facebook dengan kempen iklan berbayar Lead Generation di dua platform — Meta Ads (Facebook dan Instagram) dan TikTok Ads. Kempen ini menghasilkan 2,927,157 tontonan video di TikTok dan 3,470 prospek dalam talian yang direkodkan dalam Sistem CRM institusi.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melaksana, memantau dan menilai kempen tersebut,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iklan berbayar Lead Generation di Meta Ads dan TikTok Ads yang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tontonan video, kadar penglibatan, trafik carian organik, dan bilangan prospek dalam talian yang direkodkan dalam Sistem CRM TVET Lipis mengikut sumber, kursus dan lokasi.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menyokong pengambilan pelajar baharu — termasuk menganalisis kadar penukaran prospek kepada pelajar berdaftar — dan mengemukakan cadangan penambahbaikan berasaskan data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Kempen hanya meliputi TikTok, Instagram dan Facebook (kandungan organik) serta Meta Ads dan TikTok Ads (iklan berbayar).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TikTok Ads pula hanya beroperasi bermula Mac 2026 (4 bulan), menjadikan perbandingan langsung antara kedua-dua platform iklan tidak seimbang dari segi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Ketidaklengkapan Data Demografi: </w:t>
      </w:r>
      <w:r>
        <w:rPr>
          <w:rFonts w:ascii="Times New Roman" w:cs="Times New Roman" w:eastAsia="Times New Roman" w:hAnsi="Times New Roman"/>
          <w:sz w:val="24"/>
          <w:szCs w:val="24"/>
        </w:rPr>
        <w:t xml:space="preserve">Medan umur hanya ditangkap secara konsisten oleh borang TikTok Ads (1,132 rekod daripada 3,470 prospek, iaitu 32.6%). Borang Meta Ads tidak menangkap umur, menyebabkan analisis demografi umur terhad kepada subset data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Data Kandungan Organik Tidak Berpecah Bulanan: </w:t>
      </w:r>
      <w:r>
        <w:rPr>
          <w:rFonts w:ascii="Times New Roman" w:cs="Times New Roman" w:eastAsia="Times New Roman" w:hAnsi="Times New Roman"/>
          <w:sz w:val="24"/>
          <w:szCs w:val="24"/>
        </w:rPr>
        <w:t xml:space="preserve">TikTok Analytics hanya menyediakan pecahan organik berbanding berbayar bermula 1 Mac 2026. Tontonan bagi Januari dan Februari 2026 tidak dapat diasingkan mengikut kategori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Pengesanan Prospek Luar Borang: </w:t>
      </w:r>
      <w:r>
        <w:rPr>
          <w:rFonts w:ascii="Times New Roman" w:cs="Times New Roman" w:eastAsia="Times New Roman" w:hAnsi="Times New Roman"/>
          <w:sz w:val="24"/>
          <w:szCs w:val="24"/>
        </w:rPr>
        <w:t xml:space="preserve">Hanya prospek yang mengisi borang Lead Generation direkodkan secara automatik dengan sumber yang tepat. Prospek yang menghubungi terus melalui WhatsApp, panggilan telefon atau lawatan tidak dapat dikaitkan dengan saluran pemasaran tertentu.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daripada lawatan laman web kepada pertanyaan tidak sepenuhnya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Rekod Status Prospek Tidak Lengkap: </w:t>
      </w:r>
      <w:r>
        <w:rPr>
          <w:rFonts w:ascii="Times New Roman" w:cs="Times New Roman" w:eastAsia="Times New Roman" w:hAnsi="Times New Roman"/>
          <w:sz w:val="24"/>
          <w:szCs w:val="24"/>
        </w:rPr>
        <w:t xml:space="preserve">Sistem CRM masih dalam fasa pelaksanaan sepanjang tempoh kempen. Pasukan pengambilan menjalankan susulan melalui WhatsApp tanpa mengemas kini status setiap prospek dalam sistem. Justeru, data peringkat corong dalam CRM tidak mencerminkan aktiviti susulan sebenar dan tidak digunakan untuk mengukur kadar penukaran mengikut peringkat.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Kadar Penukaran Dipengaruhi Faktor Luar Kawalan Kempen: </w:t>
      </w:r>
      <w:r>
        <w:rPr>
          <w:rFonts w:ascii="Times New Roman" w:cs="Times New Roman" w:eastAsia="Times New Roman" w:hAnsi="Times New Roman"/>
          <w:sz w:val="24"/>
          <w:szCs w:val="24"/>
        </w:rPr>
        <w:t xml:space="preserve">Penukaran prospek kepada pelajar berdaftar bergantung kepada proses susulan oleh pasukan pengambilan, kelulusan pembiayaan PTPK dan keputusan peribadi calon — faktor yang berada di luar skop aktiviti pemasaran media sosial yang didokumentasikan dalam LPKT ini.</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dan belanjawan yang terkawal.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2.1: Kerangka PESO dan Aplikasinya dalam Kempen TVET Lipis</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(Facebook &amp; Instagram) dan TikTok Ads — kedua-duanya menggunakan borang Lead Generation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Perkongsian sukarela video oleh pengguna, komen dan sebutan; carian berjenama di Google</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pautan linktr.ee/tvetlipis, Sistem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2.2: Model RACE dan Metrik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Tontonan video, jangkauan audiens, paparan profil</w:t>
            </w:r>
          </w:p>
        </w:tc>
        <w:tc>
          <w:tcPr>
            <w:tcW w:type="dxa" w:w="2760"/>
          </w:tcPr>
          <w:p>
            <w:pPr>
              <w:spacing w:line="276"/>
            </w:pPr>
            <w:r>
              <w:rPr>
                <w:rFonts w:ascii="Times New Roman" w:cs="Times New Roman" w:eastAsia="Times New Roman" w:hAnsi="Times New Roman"/>
                <w:sz w:val="20"/>
                <w:szCs w:val="20"/>
              </w:rPr>
              <w:t xml:space="preserve">TikTok Analytics, Meta Business Suite</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Likes, komen, kongsi, klik pautan bio, kunjungan profil</w:t>
            </w:r>
          </w:p>
        </w:tc>
        <w:tc>
          <w:tcPr>
            <w:tcW w:type="dxa" w:w="2760"/>
          </w:tcPr>
          <w:p>
            <w:pPr>
              <w:spacing w:line="276"/>
            </w:pPr>
            <w:r>
              <w:rPr>
                <w:rFonts w:ascii="Times New Roman" w:cs="Times New Roman" w:eastAsia="Times New Roman" w:hAnsi="Times New Roman"/>
                <w:sz w:val="20"/>
                <w:szCs w:val="20"/>
              </w:rPr>
              <w:t xml:space="preserve">TikTok Analytics, Instagram Insights</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kos per prospek (CPL)</w:t>
            </w:r>
          </w:p>
        </w:tc>
        <w:tc>
          <w:tcPr>
            <w:tcW w:type="dxa" w:w="2760"/>
          </w:tcPr>
          <w:p>
            <w:pPr>
              <w:spacing w:line="276"/>
            </w:pPr>
            <w:r>
              <w:rPr>
                <w:rFonts w:ascii="Times New Roman" w:cs="Times New Roman" w:eastAsia="Times New Roman" w:hAnsi="Times New Roman"/>
                <w:sz w:val="20"/>
                <w:szCs w:val="20"/>
              </w:rPr>
              <w:t xml:space="preserve">Meta Ads Manager, TikTok Ads Manager,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dan tukar prospek kepada pelajar</w:t>
            </w:r>
          </w:p>
        </w:tc>
        <w:tc>
          <w:tcPr>
            <w:tcW w:type="dxa" w:w="2800"/>
          </w:tcPr>
          <w:p>
            <w:pPr>
              <w:spacing w:line="276"/>
            </w:pPr>
            <w:r>
              <w:rPr>
                <w:rFonts w:ascii="Times New Roman" w:cs="Times New Roman" w:eastAsia="Times New Roman" w:hAnsi="Times New Roman"/>
                <w:sz w:val="20"/>
                <w:szCs w:val="20"/>
              </w:rPr>
              <w:t xml:space="preserve">Pengikut, kadar penukaran prospek→pelajar berdaftar</w:t>
            </w:r>
          </w:p>
        </w:tc>
        <w:tc>
          <w:tcPr>
            <w:tcW w:type="dxa" w:w="2760"/>
          </w:tcPr>
          <w:p>
            <w:pPr>
              <w:spacing w:line="276"/>
            </w:pPr>
            <w:r>
              <w:rPr>
                <w:rFonts w:ascii="Times New Roman" w:cs="Times New Roman" w:eastAsia="Times New Roman" w:hAnsi="Times New Roman"/>
                <w:sz w:val="20"/>
                <w:szCs w:val="20"/>
              </w:rPr>
              <w:t xml:space="preserve">Analitik platform + corong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Model RACE dipilih kerana ia memetakan keseluruhan perjalanan bakal pelajar — daripada melihat video buat kali pertama (Reach), berinteraksi dengan kandungan (Act), mengisi borang prospek (Convert), sehingga proses susulan yang membawa kepada pendaftaran (Engage). Struktur ini membolehkan pengenalpastian tepat di peringkat mana corong pemasaran mengalami kebocoran terbesar, seperti yang dibentangkan dalam seksyen 3.7.</w:t>
      </w:r>
    </w:p>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2.3: Fasa PDCA dan Aktiviti Pelaksanaan Kempen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akaun media sosial sedia ada, penetapan objektif SMART, pembinaan dua persona audiens (Persona A: lepasan SPM 17–19 tahun; Persona B: ibu bapa/penjaga 35–45 tahun), pembinaan Kalendar Kandungan 6 bulan, penetapan belanjawan dan konfigurasi borang Lead Generation Meta Ads</w:t>
            </w:r>
          </w:p>
        </w:tc>
        <w:tc>
          <w:tcPr>
            <w:tcW w:type="dxa" w:w="2200"/>
          </w:tcPr>
          <w:p>
            <w:pPr>
              <w:spacing w:line="276"/>
            </w:pPr>
            <w:r>
              <w:rPr>
                <w:rFonts w:ascii="Times New Roman" w:cs="Times New Roman" w:eastAsia="Times New Roman" w:hAnsi="Times New Roman"/>
                <w:sz w:val="20"/>
                <w:szCs w:val="20"/>
              </w:rPr>
              <w:t xml:space="preserve">Disember 2025 – 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merentas TikTok, Instagram dan Facebook; pelancaran kempen Meta Ads Lead Generation (Januari 2026); pengurusan komuniti — balas komen dan DM dalam masa 24 jam</w:t>
            </w:r>
          </w:p>
        </w:tc>
        <w:tc>
          <w:tcPr>
            <w:tcW w:type="dxa" w:w="2200"/>
          </w:tcPr>
          <w:p>
            <w:pPr>
              <w:spacing w:line="276"/>
            </w:pPr>
            <w:r>
              <w:rPr>
                <w:rFonts w:ascii="Times New Roman" w:cs="Times New Roman" w:eastAsia="Times New Roman" w:hAnsi="Times New Roman"/>
                <w:sz w:val="20"/>
                <w:szCs w:val="20"/>
              </w:rPr>
              <w:t xml:space="preserve">Januari – Jun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Pemantauan metrik platform dan data prospek CRM secara berkala; pengenalpastian penurunan prestasi Meta Ads pada Februari 2026 (133 prospek berbanding 345 pada Januari)</w:t>
            </w:r>
          </w:p>
        </w:tc>
        <w:tc>
          <w:tcPr>
            <w:tcW w:type="dxa" w:w="2200"/>
          </w:tcPr>
          <w:p>
            <w:pPr>
              <w:spacing w:line="276"/>
            </w:pPr>
            <w:r>
              <w:rPr>
                <w:rFonts w:ascii="Times New Roman" w:cs="Times New Roman" w:eastAsia="Times New Roman" w:hAnsi="Times New Roman"/>
                <w:sz w:val="20"/>
                <w:szCs w:val="20"/>
              </w:rPr>
              <w:t xml:space="preserve">Berterusan Januari – Jun 2026</w:t>
            </w:r>
          </w:p>
        </w:tc>
      </w:tr>
      <w:tr>
        <w:tc>
          <w:tcPr>
            <w:tcW w:type="dxa" w:w="1600"/>
          </w:tcPr>
          <w:p>
            <w:pPr>
              <w:spacing w:line="276"/>
            </w:pPr>
            <w:r>
              <w:rPr>
                <w:rFonts w:ascii="Times New Roman" w:cs="Times New Roman" w:eastAsia="Times New Roman" w:hAnsi="Times New Roman"/>
                <w:sz w:val="20"/>
                <w:szCs w:val="20"/>
              </w:rPr>
              <w:t xml:space="preserve">Act (Bertindak) — Kitaran 1</w:t>
            </w:r>
          </w:p>
        </w:tc>
        <w:tc>
          <w:tcPr>
            <w:tcW w:type="dxa" w:w="5560"/>
          </w:tcPr>
          <w:p>
            <w:pPr>
              <w:spacing w:line="276"/>
            </w:pPr>
            <w:r>
              <w:rPr>
                <w:rFonts w:ascii="Times New Roman" w:cs="Times New Roman" w:eastAsia="Times New Roman" w:hAnsi="Times New Roman"/>
                <w:sz w:val="20"/>
                <w:szCs w:val="20"/>
              </w:rPr>
              <w:t xml:space="preserve">Tindak balas kepada penurunan Februari: penambahbaikan kreatif iklan dan pembukaan saluran baharu — kempen TikTok Ads Lead Generation dilancarkan pada Mac 2026</w:t>
            </w:r>
          </w:p>
        </w:tc>
        <w:tc>
          <w:tcPr>
            <w:tcW w:type="dxa" w:w="2200"/>
          </w:tcPr>
          <w:p>
            <w:pPr>
              <w:spacing w:line="276"/>
            </w:pPr>
            <w:r>
              <w:rPr>
                <w:rFonts w:ascii="Times New Roman" w:cs="Times New Roman" w:eastAsia="Times New Roman" w:hAnsi="Times New Roman"/>
                <w:sz w:val="20"/>
                <w:szCs w:val="20"/>
              </w:rPr>
              <w:t xml:space="preserve">Mac 2026</w:t>
            </w:r>
          </w:p>
        </w:tc>
      </w:tr>
      <w:tr>
        <w:tc>
          <w:tcPr>
            <w:tcW w:type="dxa" w:w="1600"/>
          </w:tcPr>
          <w:p>
            <w:pPr>
              <w:spacing w:line="276"/>
            </w:pPr>
            <w:r>
              <w:rPr>
                <w:rFonts w:ascii="Times New Roman" w:cs="Times New Roman" w:eastAsia="Times New Roman" w:hAnsi="Times New Roman"/>
                <w:sz w:val="20"/>
                <w:szCs w:val="20"/>
              </w:rPr>
              <w:t xml:space="preserve">Act (Bertindak) — Kitaran 2</w:t>
            </w:r>
          </w:p>
        </w:tc>
        <w:tc>
          <w:tcPr>
            <w:tcW w:type="dxa" w:w="5560"/>
          </w:tcPr>
          <w:p>
            <w:pPr>
              <w:spacing w:line="276"/>
            </w:pPr>
            <w:r>
              <w:rPr>
                <w:rFonts w:ascii="Times New Roman" w:cs="Times New Roman" w:eastAsia="Times New Roman" w:hAnsi="Times New Roman"/>
                <w:sz w:val="20"/>
                <w:szCs w:val="20"/>
              </w:rPr>
              <w:t xml:space="preserve">Pengagihan semula belanjawan berdasarkan prestasi: peruntukan dialihkan kepada TikTok Ads yang menunjukkan pertumbuhan konsisten, manakala Meta Ads dikurangkan selepas prestasi menurun pada Mei–Jun 2026</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Dua kitaran "Act" yang direkodkan dalam Jadual 2.3 menunjukkan pendekatan PDCA diamalkan secara sebenar dan bukan sekadar teori. Keputusan melancarkan TikTok Ads pada Mac 2026 adalah tindak balas langsung kepada data prestasi Februari, dan keputusan tersebut kemudiannya terbukti tepat apabila TikTok menjadi sumber prospek utama menjelang Mei–Jun 2026.</w:t>
      </w:r>
    </w:p>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2.4: Sumber Analitik Platform dan Data yang Dikumpulkan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 (Organik)</w:t>
            </w:r>
          </w:p>
        </w:tc>
        <w:tc>
          <w:tcPr>
            <w:tcW w:type="dxa" w:w="2800"/>
          </w:tcPr>
          <w:p>
            <w:pPr>
              <w:spacing w:line="276"/>
            </w:pPr>
            <w:r>
              <w:rPr>
                <w:rFonts w:ascii="Times New Roman" w:cs="Times New Roman" w:eastAsia="Times New Roman" w:hAnsi="Times New Roman"/>
                <w:sz w:val="20"/>
                <w:szCs w:val="20"/>
              </w:rPr>
              <w:t xml:space="preserve">TikTok Analytics (Business Account)</w:t>
            </w:r>
          </w:p>
        </w:tc>
        <w:tc>
          <w:tcPr>
            <w:tcW w:type="dxa" w:w="4960"/>
          </w:tcPr>
          <w:p>
            <w:pPr>
              <w:spacing w:line="276"/>
            </w:pPr>
            <w:r>
              <w:rPr>
                <w:rFonts w:ascii="Times New Roman" w:cs="Times New Roman" w:eastAsia="Times New Roman" w:hAnsi="Times New Roman"/>
                <w:sz w:val="20"/>
                <w:szCs w:val="20"/>
              </w:rPr>
              <w:t xml:space="preserve">Tontonan video, jangkauan audiens, paparan profil, pengikut, likes, pecahan organik vs berbayar</w:t>
            </w:r>
          </w:p>
        </w:tc>
      </w:tr>
      <w:tr>
        <w:tc>
          <w:tcPr>
            <w:tcW w:type="dxa" w:w="1600"/>
          </w:tcPr>
          <w:p>
            <w:pPr>
              <w:spacing w:line="276"/>
            </w:pPr>
            <w:r>
              <w:rPr>
                <w:rFonts w:ascii="Times New Roman" w:cs="Times New Roman" w:eastAsia="Times New Roman" w:hAnsi="Times New Roman"/>
                <w:sz w:val="20"/>
                <w:szCs w:val="20"/>
              </w:rPr>
              <w:t xml:space="preserve">TikTok Ads</w:t>
            </w:r>
          </w:p>
        </w:tc>
        <w:tc>
          <w:tcPr>
            <w:tcW w:type="dxa" w:w="2800"/>
          </w:tcPr>
          <w:p>
            <w:pPr>
              <w:spacing w:line="276"/>
            </w:pPr>
            <w:r>
              <w:rPr>
                <w:rFonts w:ascii="Times New Roman" w:cs="Times New Roman" w:eastAsia="Times New Roman" w:hAnsi="Times New Roman"/>
                <w:sz w:val="20"/>
                <w:szCs w:val="20"/>
              </w:rPr>
              <w:t xml:space="preserve">TikTok Ads Manager</w:t>
            </w:r>
          </w:p>
        </w:tc>
        <w:tc>
          <w:tcPr>
            <w:tcW w:type="dxa" w:w="4960"/>
          </w:tcPr>
          <w:p>
            <w:pPr>
              <w:spacing w:line="276"/>
            </w:pPr>
            <w:r>
              <w:rPr>
                <w:rFonts w:ascii="Times New Roman" w:cs="Times New Roman" w:eastAsia="Times New Roman" w:hAnsi="Times New Roman"/>
                <w:sz w:val="20"/>
                <w:szCs w:val="20"/>
              </w:rPr>
              <w:t xml:space="preserve">Perbelanjaan, tayangan, bilangan prospek daripada borang Lead Generation</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 Page Insights</w:t>
            </w:r>
          </w:p>
        </w:tc>
        <w:tc>
          <w:tcPr>
            <w:tcW w:type="dxa" w:w="4960"/>
          </w:tcPr>
          <w:p>
            <w:pPr>
              <w:spacing w:line="276"/>
            </w:pPr>
            <w:r>
              <w:rPr>
                <w:rFonts w:ascii="Times New Roman" w:cs="Times New Roman" w:eastAsia="Times New Roman" w:hAnsi="Times New Roman"/>
                <w:sz w:val="20"/>
                <w:szCs w:val="20"/>
              </w:rPr>
              <w:t xml:space="preserve">Jangkauan siaran, penglibatan halaman, pengikut</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Meta 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dan TikTok Ads kedua-duanya dikonfigurasikan dengan borang Lead Generation (borang prospek dalam talian) yang menjana rekod prospek secara automatik apabila bakal pelajar mengisi borang terus daripada iklan. Data prospek — nama, nombor telefon, kursus diminati, negeri asal dan sumber iklan — direkodkan ke dalam Sistem Pengurusan Hubungan Pelanggan (CRM) TVET Lipis. Ini membolehkan pengesanan sumber setiap prospek secara tepat dan automatik, di samping menjejaki pergerakan setiap prospek melalui peringkat corong pemasaran (Lead → Contacted → Potential →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Sistem CRM TVET Lipis dibangunkan secara dalaman menggunakan React dan Supabase (PostgreSQL), dan berfungsi sebagai pangkalan data tunggal bagi semua prospek institusi. Bagi tujuan LPKT ini, data diekstrak daripada jadual leads yang mengandungi 6,056 rekod keseluruhan, ditapis kepada 3,470 rekod yang bertarikh Januari hingga Jun 2026 dengan sumber Meta Ads atau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TikTok, Instagram dan Facebook</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w:t>
            </w:r>
          </w:p>
        </w:tc>
        <w:tc>
          <w:tcPr>
            <w:tcW w:type="dxa" w:w="4000"/>
          </w:tcPr>
          <w:p>
            <w:pPr>
              <w:spacing w:line="276"/>
            </w:pPr>
            <w:r>
              <w:rPr>
                <w:rFonts w:ascii="Times New Roman" w:cs="Times New Roman" w:eastAsia="Times New Roman" w:hAnsi="Times New Roman"/>
                <w:sz w:val="20"/>
                <w:szCs w:val="20"/>
              </w:rPr>
              <w:t xml:space="preserve">Rekod metrik utama untuk semua platform bagi tujuan pemantauan trend</w:t>
            </w:r>
          </w:p>
        </w:tc>
        <w:tc>
          <w:tcPr>
            <w:tcW w:type="dxa" w:w="2760"/>
          </w:tcPr>
          <w:p>
            <w:pPr>
              <w:spacing w:line="276"/>
            </w:pPr>
            <w:r>
              <w:rPr>
                <w:rFonts w:ascii="Times New Roman" w:cs="Times New Roman" w:eastAsia="Times New Roman" w:hAnsi="Times New Roman"/>
                <w:sz w:val="20"/>
                <w:szCs w:val="20"/>
              </w:rPr>
              <w:t xml:space="preserve">Mingguan / Bulanan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prospek mengikut sumber, kursus, negeri dan peringkat corong</w:t>
            </w:r>
          </w:p>
        </w:tc>
        <w:tc>
          <w:tcPr>
            <w:tcW w:type="dxa" w:w="2760"/>
          </w:tcPr>
          <w:p>
            <w:pPr>
              <w:spacing w:line="276"/>
            </w:pPr>
            <w:r>
              <w:rPr>
                <w:rFonts w:ascii="Times New Roman" w:cs="Times New Roman" w:eastAsia="Times New Roman" w:hAnsi="Times New Roman"/>
                <w:sz w:val="20"/>
                <w:szCs w:val="20"/>
              </w:rPr>
              <w:t xml:space="preserve">Berterusan (masa nyata)</w:t>
            </w:r>
          </w:p>
        </w:tc>
      </w:tr>
      <w:tr>
        <w:tc>
          <w:tcPr>
            <w:tcW w:type="dxa" w:w="2600"/>
          </w:tcPr>
          <w:p>
            <w:pPr>
              <w:spacing w:line="276"/>
            </w:pPr>
            <w:r>
              <w:rPr>
                <w:rFonts w:ascii="Times New Roman" w:cs="Times New Roman" w:eastAsia="Times New Roman" w:hAnsi="Times New Roman"/>
                <w:sz w:val="20"/>
                <w:szCs w:val="20"/>
              </w:rPr>
              <w:t xml:space="preserve">Borang Lead Generation (Meta &amp; TikTok)</w:t>
            </w:r>
          </w:p>
        </w:tc>
        <w:tc>
          <w:tcPr>
            <w:tcW w:type="dxa" w:w="4000"/>
          </w:tcPr>
          <w:p>
            <w:pPr>
              <w:spacing w:line="276"/>
            </w:pPr>
            <w:r>
              <w:rPr>
                <w:rFonts w:ascii="Times New Roman" w:cs="Times New Roman" w:eastAsia="Times New Roman" w:hAnsi="Times New Roman"/>
                <w:sz w:val="20"/>
                <w:szCs w:val="20"/>
              </w:rPr>
              <w:t xml:space="preserve">Instrumen pengumpulan data prospek: nama, telefon, kursus diminati, negeri, umur</w:t>
            </w:r>
          </w:p>
        </w:tc>
        <w:tc>
          <w:tcPr>
            <w:tcW w:type="dxa" w:w="2760"/>
          </w:tcPr>
          <w:p>
            <w:pPr>
              <w:spacing w:line="276"/>
            </w:pPr>
            <w:r>
              <w:rPr>
                <w:rFonts w:ascii="Times New Roman" w:cs="Times New Roman" w:eastAsia="Times New Roman" w:hAnsi="Times New Roman"/>
                <w:sz w:val="20"/>
                <w:szCs w:val="20"/>
              </w:rPr>
              <w:t xml:space="preserve">Setiap prospek</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dan kesesuaian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Iklan Berbayar</w:t>
            </w:r>
          </w:p>
        </w:tc>
        <w:tc>
          <w:tcPr>
            <w:tcW w:type="dxa" w:w="4000"/>
          </w:tcPr>
          <w:p>
            <w:pPr>
              <w:spacing w:line="276"/>
            </w:pPr>
            <w:r>
              <w:rPr>
                <w:rFonts w:ascii="Times New Roman" w:cs="Times New Roman" w:eastAsia="Times New Roman" w:hAnsi="Times New Roman"/>
                <w:sz w:val="20"/>
                <w:szCs w:val="20"/>
              </w:rPr>
              <w:t xml:space="preserve">Ringkasan prestasi Meta Ads dan TikTok Ads (perbelanjaan, prospek, CPL)</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(Disember 2025 –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 bermula. Data audit ini menjadi garis dasar (baseline) perbandingan.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dibina: Persona A (lepasan SPM 17–19 tahun, pengguna TikTok aktif, mencari program kemahiran dengan pembiayaan PTPK) dan Persona B (ibu bapa/penjaga 35–45 tahun, pengguna Facebook aktif, membuat keputusan bersama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motivasi kerjaya),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mengalir terus ke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dan Stories bagi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Pelancaran Kempen Meta Ads — Kempen Lead Generation dilancarkan pada Januari 2026 melalui Meta Ads Manager dengan parameter penyasaran: umur 17–45 tahun, tumpuan kepada Pahang dan negeri berjiran, minat dalam pendidikan, latihan vokasional dan pembangunan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Pelancaran Kempen TikTok Ads — Berikutan penurunan prestasi Meta Ads pada Februari 2026, kempen TikTok Ads Lead Generation dilancarkan pada Mac 2026 sebagai saluran penjanaan prospek kedua, menggunakan struktur borang yang sama dan penambahan medan umur bagi tujuan kualifikasi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Pengurusan Komuniti — Semua komen, DM dan pertanyaan di platform media sosial dijawab dalam masa 24 jam bagi mengekalkan momentum penglibatan.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daripada semua platform dan Sistem CRM dianalisis dan dibandingkan dengan KPI yang ditetapkan dalam Fasa 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Pengagihan Semula Belanjawan — Berdasarkan prestasi sebenar, peruntukan iklan dialihkan kepada TikTok Ads yang menunjukkan pertumbuhan prospek konsisten, manakala perbelanjaan Meta Ads dikurangkan.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Analisis Corong CRM — Pergerakan prospek melalui peringkat Lead → Contacted → Potential → Customer dianalisis bagi mengenal pasti titik kebocoran corong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Penyediaan Laporan Akhir — Laporan komprehensif merangkumi dapatan, analisis dan cadangan penambahbaikan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 ISI BILANGAN VIDEO</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Posts, gambar, video dikongsi semula dari TikTok/Instagram</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Sepanjang Januari hingga Jun 2026, akaun @tvet_lipis mencatatkan jumlah 2,927,157 tontonan video dengan jangkauan audiens 2,622,406. Bermula Mac 2026, TikTok Ads turut dilancarkan menghasilkan 1,324,018 tontonan berbayar serta 1,134 prospek dalam talian (lihat seksyen 3.7). Akaun @tvet_lipis kini mempunyai 13,800 pengikut dengan 118,500 likes kumulatif. Video tular "Ini adalah peluang kedua anda!" mencatatkan 3,800,000 tontonan - pencapaian luar biasa bagi akaun institusi kemahiran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Ringkasan Prestasi TikTok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TikTok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348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Tontonan Video (keseluruhan)</w:t>
            </w:r>
          </w:p>
        </w:tc>
        <w:tc>
          <w:tcPr>
            <w:tcW w:type="dxa" w:w="2680"/>
          </w:tcPr>
          <w:p>
            <w:pPr>
              <w:spacing w:line="276"/>
            </w:pPr>
            <w:r>
              <w:rPr>
                <w:rFonts w:ascii="Times New Roman" w:cs="Times New Roman" w:eastAsia="Times New Roman" w:hAnsi="Times New Roman"/>
                <w:sz w:val="20"/>
                <w:szCs w:val="20"/>
              </w:rPr>
              <w:t xml:space="preserve">2,927,157</w:t>
            </w:r>
          </w:p>
        </w:tc>
        <w:tc>
          <w:tcPr>
            <w:tcW w:type="dxa" w:w="3480"/>
          </w:tcPr>
          <w:p>
            <w:pPr>
              <w:spacing w:line="276"/>
            </w:pPr>
            <w:r>
              <w:rPr>
                <w:rFonts w:ascii="Times New Roman" w:cs="Times New Roman" w:eastAsia="Times New Roman" w:hAnsi="Times New Roman"/>
                <w:sz w:val="20"/>
                <w:szCs w:val="20"/>
              </w:rPr>
              <w:t xml:space="preserve">Organik dan berbayar digabungkan</w:t>
            </w:r>
          </w:p>
        </w:tc>
      </w:tr>
      <w:tr>
        <w:tc>
          <w:tcPr>
            <w:tcW w:type="dxa" w:w="3200"/>
          </w:tcPr>
          <w:p>
            <w:pPr>
              <w:spacing w:line="276"/>
            </w:pPr>
            <w:r>
              <w:rPr>
                <w:rFonts w:ascii="Times New Roman" w:cs="Times New Roman" w:eastAsia="Times New Roman" w:hAnsi="Times New Roman"/>
                <w:sz w:val="20"/>
                <w:szCs w:val="20"/>
              </w:rPr>
              <w:t xml:space="preserve">— Tontonan Organik</w:t>
            </w:r>
          </w:p>
        </w:tc>
        <w:tc>
          <w:tcPr>
            <w:tcW w:type="dxa" w:w="2680"/>
          </w:tcPr>
          <w:p>
            <w:pPr>
              <w:spacing w:line="276"/>
            </w:pPr>
            <w:r>
              <w:rPr>
                <w:rFonts w:ascii="Times New Roman" w:cs="Times New Roman" w:eastAsia="Times New Roman" w:hAnsi="Times New Roman"/>
                <w:sz w:val="20"/>
                <w:szCs w:val="20"/>
              </w:rPr>
              <w:t xml:space="preserve">516,567 (17.65%)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 Tontonan Berbayar (TikTok Ads)</w:t>
            </w:r>
          </w:p>
        </w:tc>
        <w:tc>
          <w:tcPr>
            <w:tcW w:type="dxa" w:w="2680"/>
          </w:tcPr>
          <w:p>
            <w:pPr>
              <w:spacing w:line="276"/>
            </w:pPr>
            <w:r>
              <w:rPr>
                <w:rFonts w:ascii="Times New Roman" w:cs="Times New Roman" w:eastAsia="Times New Roman" w:hAnsi="Times New Roman"/>
                <w:sz w:val="20"/>
                <w:szCs w:val="20"/>
              </w:rPr>
              <w:t xml:space="preserve">1,324,018 (82.35%)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Jangkauan Audiens (Reached Audience)</w:t>
            </w:r>
          </w:p>
        </w:tc>
        <w:tc>
          <w:tcPr>
            <w:tcW w:type="dxa" w:w="2680"/>
          </w:tcPr>
          <w:p>
            <w:pPr>
              <w:spacing w:line="276"/>
            </w:pPr>
            <w:r>
              <w:rPr>
                <w:rFonts w:ascii="Times New Roman" w:cs="Times New Roman" w:eastAsia="Times New Roman" w:hAnsi="Times New Roman"/>
                <w:sz w:val="20"/>
                <w:szCs w:val="20"/>
              </w:rPr>
              <w:t xml:space="preserve">2,622,406</w:t>
            </w:r>
          </w:p>
        </w:tc>
        <w:tc>
          <w:tcPr>
            <w:tcW w:type="dxa" w:w="3480"/>
          </w:tcPr>
          <w:p>
            <w:pPr>
              <w:spacing w:line="276"/>
            </w:pPr>
            <w:r>
              <w:rPr>
                <w:rFonts w:ascii="Times New Roman" w:cs="Times New Roman" w:eastAsia="Times New Roman" w:hAnsi="Times New Roman"/>
                <w:sz w:val="20"/>
                <w:szCs w:val="20"/>
              </w:rPr>
              <w:t xml:space="preserve">Bilangan akaun unik yang dicapai</w:t>
            </w:r>
          </w:p>
        </w:tc>
      </w:tr>
      <w:tr>
        <w:tc>
          <w:tcPr>
            <w:tcW w:type="dxa" w:w="3200"/>
          </w:tcPr>
          <w:p>
            <w:pPr>
              <w:spacing w:line="276"/>
            </w:pPr>
            <w:r>
              <w:rPr>
                <w:rFonts w:ascii="Times New Roman" w:cs="Times New Roman" w:eastAsia="Times New Roman" w:hAnsi="Times New Roman"/>
                <w:sz w:val="20"/>
                <w:szCs w:val="20"/>
              </w:rPr>
              <w:t xml:space="preserve">Paparan Profil (Profile Views)</w:t>
            </w:r>
          </w:p>
        </w:tc>
        <w:tc>
          <w:tcPr>
            <w:tcW w:type="dxa" w:w="2680"/>
          </w:tcPr>
          <w:p>
            <w:pPr>
              <w:spacing w:line="276"/>
            </w:pPr>
            <w:r>
              <w:rPr>
                <w:rFonts w:ascii="Times New Roman" w:cs="Times New Roman" w:eastAsia="Times New Roman" w:hAnsi="Times New Roman"/>
                <w:sz w:val="20"/>
                <w:szCs w:val="20"/>
              </w:rPr>
              <w:t xml:space="preserve">15,251</w:t>
            </w:r>
          </w:p>
        </w:tc>
        <w:tc>
          <w:tcPr>
            <w:tcW w:type="dxa" w:w="3480"/>
          </w:tcPr>
          <w:p>
            <w:pPr>
              <w:spacing w:line="276"/>
            </w:pPr>
            <w:r>
              <w:rPr>
                <w:rFonts w:ascii="Times New Roman" w:cs="Times New Roman" w:eastAsia="Times New Roman" w:hAnsi="Times New Roman"/>
                <w:sz w:val="20"/>
                <w:szCs w:val="20"/>
              </w:rPr>
              <w:t xml:space="preserve">Penunjuk minat lanjut terhadap institusi</w:t>
            </w:r>
          </w:p>
        </w:tc>
      </w:tr>
      <w:tr>
        <w:tc>
          <w:tcPr>
            <w:tcW w:type="dxa" w:w="3200"/>
          </w:tcPr>
          <w:p>
            <w:pPr>
              <w:spacing w:line="276"/>
            </w:pPr>
            <w:r>
              <w:rPr>
                <w:rFonts w:ascii="Times New Roman" w:cs="Times New Roman" w:eastAsia="Times New Roman" w:hAnsi="Times New Roman"/>
                <w:sz w:val="20"/>
                <w:szCs w:val="20"/>
              </w:rPr>
              <w:t xml:space="preserve">Bilangan Pengikut</w:t>
            </w:r>
          </w:p>
        </w:tc>
        <w:tc>
          <w:tcPr>
            <w:tcW w:type="dxa" w:w="2680"/>
          </w:tcPr>
          <w:p>
            <w:pPr>
              <w:spacing w:line="276"/>
            </w:pPr>
            <w:r>
              <w:rPr>
                <w:rFonts w:ascii="Times New Roman" w:cs="Times New Roman" w:eastAsia="Times New Roman" w:hAnsi="Times New Roman"/>
                <w:sz w:val="20"/>
                <w:szCs w:val="20"/>
              </w:rPr>
              <w:t xml:space="preserve">13,800</w:t>
            </w:r>
          </w:p>
        </w:tc>
        <w:tc>
          <w:tcPr>
            <w:tcW w:type="dxa" w:w="3480"/>
          </w:tcPr>
          <w:p>
            <w:pPr>
              <w:spacing w:line="276"/>
            </w:pPr>
            <w:r>
              <w:rPr>
                <w:rFonts w:ascii="Times New Roman" w:cs="Times New Roman" w:eastAsia="Times New Roman" w:hAnsi="Times New Roman"/>
                <w:sz w:val="20"/>
                <w:szCs w:val="20"/>
              </w:rPr>
              <w:t xml:space="preserve">Pada akhir tempoh kempen</w:t>
            </w:r>
          </w:p>
        </w:tc>
      </w:tr>
      <w:tr>
        <w:tc>
          <w:tcPr>
            <w:tcW w:type="dxa" w:w="3200"/>
          </w:tcPr>
          <w:p>
            <w:pPr>
              <w:spacing w:line="276"/>
            </w:pPr>
            <w:r>
              <w:rPr>
                <w:rFonts w:ascii="Times New Roman" w:cs="Times New Roman" w:eastAsia="Times New Roman" w:hAnsi="Times New Roman"/>
                <w:sz w:val="20"/>
                <w:szCs w:val="20"/>
              </w:rPr>
              <w:t xml:space="preserve">Jumlah Likes (kumulatif)</w:t>
            </w:r>
          </w:p>
        </w:tc>
        <w:tc>
          <w:tcPr>
            <w:tcW w:type="dxa" w:w="2680"/>
          </w:tcPr>
          <w:p>
            <w:pPr>
              <w:spacing w:line="276"/>
            </w:pPr>
            <w:r>
              <w:rPr>
                <w:rFonts w:ascii="Times New Roman" w:cs="Times New Roman" w:eastAsia="Times New Roman" w:hAnsi="Times New Roman"/>
                <w:sz w:val="20"/>
                <w:szCs w:val="20"/>
              </w:rPr>
              <w:t xml:space="preserve">118,500</w:t>
            </w:r>
          </w:p>
        </w:tc>
        <w:tc>
          <w:tcPr>
            <w:tcW w:type="dxa" w:w="3480"/>
          </w:tcPr>
          <w:p>
            <w:pPr>
              <w:spacing w:line="276"/>
            </w:pPr>
            <w:r>
              <w:rPr>
                <w:rFonts w:ascii="Times New Roman" w:cs="Times New Roman" w:eastAsia="Times New Roman" w:hAnsi="Times New Roman"/>
                <w:sz w:val="20"/>
                <w:szCs w:val="20"/>
              </w:rPr>
              <w:t xml:space="preserve">Keseluruhan akaun @tvet_lipis</w:t>
            </w:r>
          </w:p>
        </w:tc>
      </w:tr>
      <w:tr>
        <w:tc>
          <w:tcPr>
            <w:tcW w:type="dxa" w:w="3200"/>
          </w:tcPr>
          <w:p>
            <w:pPr>
              <w:spacing w:line="276"/>
            </w:pPr>
            <w:r>
              <w:rPr>
                <w:rFonts w:ascii="Times New Roman" w:cs="Times New Roman" w:eastAsia="Times New Roman" w:hAnsi="Times New Roman"/>
                <w:sz w:val="20"/>
                <w:szCs w:val="20"/>
              </w:rPr>
              <w:t xml:space="preserve">Prospek daripada TikTok Ads</w:t>
            </w:r>
          </w:p>
        </w:tc>
        <w:tc>
          <w:tcPr>
            <w:tcW w:type="dxa" w:w="2680"/>
          </w:tcPr>
          <w:p>
            <w:pPr>
              <w:spacing w:line="276"/>
            </w:pPr>
            <w:r>
              <w:rPr>
                <w:rFonts w:ascii="Times New Roman" w:cs="Times New Roman" w:eastAsia="Times New Roman" w:hAnsi="Times New Roman"/>
                <w:sz w:val="20"/>
                <w:szCs w:val="20"/>
              </w:rPr>
              <w:t xml:space="preserve">1,134</w:t>
            </w:r>
          </w:p>
        </w:tc>
        <w:tc>
          <w:tcPr>
            <w:tcW w:type="dxa" w:w="3480"/>
          </w:tcPr>
          <w:p>
            <w:pPr>
              <w:spacing w:line="276"/>
            </w:pPr>
            <w:r>
              <w:rPr>
                <w:rFonts w:ascii="Times New Roman" w:cs="Times New Roman" w:eastAsia="Times New Roman" w:hAnsi="Times New Roman"/>
                <w:sz w:val="20"/>
                <w:szCs w:val="20"/>
              </w:rPr>
              <w:t xml:space="preserve">Borang Lead Generation — lihat seksyen 3.7</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dapatan utama boleh diperoleh daripada Jadual 3.2. Pertama, jangkauan audiens sebanyak 2,622,406 mengatasi bilangan pengikut (13,800) dengan nisbah kira-kira 190 berbanding 1. Ini mengesahkan bahawa pengedaran kandungan di TikTok didorong oleh algoritma cadangan dan bukan oleh saiz pengikut — ciri yang menjadikan platform ini sesuai bagi institusi kecil yang bermula tanpa asas audiens yang besar.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 pecahan organik berbanding berbayar menunjukkan 82.35% tontonan dijana melalui TikTok Ads sejak Mac 2026, mencerminkan kesan pelaburan iklan berbayar terhadap jangkauan keseluruhan. Perlu diambil perhatian bahawa pecahan ini hanya direkodkan oleh TikTok Analytics bermula 1 Mac 2026; tontonan bagi Januari dan Februari 2026 tidak dapat diasingkan mengikut kategori tersebut, menjadikan angka organik 516,567 sebagai nilai minimum dan bukan jumlah sebenar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 paparan profil sebanyak 15,251 merupakan penunjuk penting kerana tindakan melawat profil menandakan minat yang melangkaui tontonan pasif — pengguna secara aktif mencari maklumat lanjut tentang institusi selepas menonton kandungan.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Jan-Jun 2026 → Screenshot menunjukkan Video Views, Reached Audience, Profile Views dan organic vs. paid breakdown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Content → Susun mengikut "Most Viewed" → Screenshot 5 video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Followers → Screenshot Follower Growth dan Demographics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3.3: Video TikTok @tvet_lipis 5 Teratas Mengikut Tontonan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1000"/>
        <w:gridCol w:w="1000"/>
        <w:gridCol w:w="2460"/>
      </w:tblGrid>
      <w:tr>
        <w:tc>
          <w:tcPr>
            <w:tcW w:type="dxa" w:w="3500"/>
            <w:shd w:fill="D9D9D9" w:color="D9D9D9" w:val="clear"/>
          </w:tcPr>
          <w:p>
            <w:pPr>
              <w:spacing w:line="276"/>
            </w:pPr>
            <w:r>
              <w:rPr>
                <w:rFonts w:ascii="Times New Roman" w:cs="Times New Roman" w:eastAsia="Times New Roman" w:hAnsi="Times New Roman"/>
                <w:b/>
                <w:bCs/>
                <w:sz w:val="20"/>
                <w:szCs w:val="20"/>
              </w:rPr>
              <w:t xml:space="preserve">Tema / Tajuk Video</w:t>
            </w:r>
          </w:p>
        </w:tc>
        <w:tc>
          <w:tcPr>
            <w:tcW w:type="dxa" w:w="14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Likes</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Komen</w:t>
            </w:r>
          </w:p>
        </w:tc>
        <w:tc>
          <w:tcPr>
            <w:tcW w:type="dxa" w:w="2460"/>
            <w:shd w:fill="D9D9D9" w:color="D9D9D9" w:val="clear"/>
          </w:tcPr>
          <w:p>
            <w:pPr>
              <w:spacing w:line="276"/>
            </w:pPr>
            <w:r>
              <w:rPr>
                <w:rFonts w:ascii="Times New Roman" w:cs="Times New Roman" w:eastAsia="Times New Roman" w:hAnsi="Times New Roman"/>
                <w:b/>
                <w:bCs/>
                <w:sz w:val="20"/>
                <w:szCs w:val="20"/>
              </w:rPr>
              <w:t xml:space="preserve">Kongsi</w:t>
            </w:r>
          </w:p>
        </w:tc>
      </w:tr>
      <w:tr>
        <w:tc>
          <w:tcPr>
            <w:tcW w:type="dxa" w:w="3500"/>
          </w:tcPr>
          <w:p>
            <w:pPr>
              <w:spacing w:line="276"/>
            </w:pPr>
            <w:r>
              <w:rPr>
                <w:rFonts w:ascii="Times New Roman" w:cs="Times New Roman" w:eastAsia="Times New Roman" w:hAnsi="Times New Roman"/>
                <w:sz w:val="20"/>
                <w:szCs w:val="20"/>
              </w:rPr>
              <w:t xml:space="preserve">Ini adalah peluang kedua anda! (motivasi kerjaya / program TVET)</w:t>
            </w:r>
          </w:p>
        </w:tc>
        <w:tc>
          <w:tcPr>
            <w:tcW w:type="dxa" w:w="1400"/>
          </w:tcPr>
          <w:p>
            <w:pPr>
              <w:spacing w:line="276"/>
            </w:pPr>
            <w:r>
              <w:rPr>
                <w:rFonts w:ascii="Times New Roman" w:cs="Times New Roman" w:eastAsia="Times New Roman" w:hAnsi="Times New Roman"/>
                <w:sz w:val="20"/>
                <w:szCs w:val="20"/>
              </w:rPr>
              <w:t xml:space="preserve">3,800,000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PERHATIAN KEPADA IBU BAPA (info program untuk ibu bapa)</w:t>
            </w:r>
          </w:p>
        </w:tc>
        <w:tc>
          <w:tcPr>
            <w:tcW w:type="dxa" w:w="1400"/>
          </w:tcPr>
          <w:p>
            <w:pPr>
              <w:spacing w:line="276"/>
            </w:pPr>
            <w:r>
              <w:rPr>
                <w:rFonts w:ascii="Times New Roman" w:cs="Times New Roman" w:eastAsia="Times New Roman" w:hAnsi="Times New Roman"/>
                <w:sz w:val="20"/>
                <w:szCs w:val="20"/>
              </w:rPr>
              <w:t xml:space="preserve">502,900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Tempat Makan Underated Kuala Lipis (kandungan lifestyle tempatan)</w:t>
            </w:r>
          </w:p>
        </w:tc>
        <w:tc>
          <w:tcPr>
            <w:tcW w:type="dxa" w:w="1400"/>
          </w:tcPr>
          <w:p>
            <w:pPr>
              <w:spacing w:line="276"/>
            </w:pPr>
            <w:r>
              <w:rPr>
                <w:rFonts w:ascii="Times New Roman" w:cs="Times New Roman" w:eastAsia="Times New Roman" w:hAnsi="Times New Roman"/>
                <w:sz w:val="20"/>
                <w:szCs w:val="20"/>
              </w:rPr>
              <w:t xml:space="preserve">99,400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4</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5</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Video tular "Ini adalah peluang kedua anda!" (3,800,000 tontonan) mengesahkan dapatan Rutter et al. (2016) bahawa kandungan beremosi dan bermotivasi menghasilkan jangkauan organik jauh lebih tinggi berbanding kandungan promosi langsung. Video "PERHATIAN KEPADA IBU BAPA" (502,900 tontonan) yang disasarkan kepada Persona B (ibu bapa 35-45 tahun) membuktikan keberkesanan penyasaran dual-persona dalam kempen ini.</w:t>
      </w:r>
    </w:p>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sz w:val="24"/>
          <w:szCs w:val="24"/>
        </w:rPr>
        <w:t xml:space="preserve">Akaun Instagram @tvet_lipis mencatatkan 165 pengikut pada akhir Jun 2026, dengan paparan profil 44,900 tayangan dalam 30 hari terkini (data Ogos 2026). Perbezaan bilangan pengikut berbanding TikTok (13,800) adalah ketara - nisbah 1:83 - mencerminkan bahawa tumpuan dan keberkesanan kempen adalah kepada platform TikTok. Instagram berfungsi sebagai saluran sokongan dengan 127 siaran aktif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3.4: Ringkasan Prestasi Instagram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Instagram</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Bilangan Pengikut (akhir tempoh kempen)</w:t>
            </w:r>
          </w:p>
        </w:tc>
        <w:tc>
          <w:tcPr>
            <w:tcW w:type="dxa" w:w="2680"/>
          </w:tcPr>
          <w:p>
            <w:pPr>
              <w:spacing w:line="276"/>
            </w:pPr>
            <w:r>
              <w:rPr>
                <w:rFonts w:ascii="Times New Roman" w:cs="Times New Roman" w:eastAsia="Times New Roman" w:hAnsi="Times New Roman"/>
                <w:sz w:val="20"/>
                <w:szCs w:val="20"/>
              </w:rPr>
              <w:t xml:space="preserve">165</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Jumlah Siaran Diterbitkan</w:t>
            </w:r>
          </w:p>
        </w:tc>
        <w:tc>
          <w:tcPr>
            <w:tcW w:type="dxa" w:w="2680"/>
          </w:tcPr>
          <w:p>
            <w:pPr>
              <w:spacing w:line="276"/>
            </w:pPr>
            <w:r>
              <w:rPr>
                <w:rFonts w:ascii="Times New Roman" w:cs="Times New Roman" w:eastAsia="Times New Roman" w:hAnsi="Times New Roman"/>
                <w:sz w:val="20"/>
                <w:szCs w:val="20"/>
              </w:rPr>
              <w:t xml:space="preserve">127 siaran</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Paparan Kandungan (30 hari terkini)</w:t>
            </w:r>
          </w:p>
        </w:tc>
        <w:tc>
          <w:tcPr>
            <w:tcW w:type="dxa" w:w="2680"/>
          </w:tcPr>
          <w:p>
            <w:pPr>
              <w:spacing w:line="276"/>
            </w:pPr>
            <w:r>
              <w:rPr>
                <w:rFonts w:ascii="Times New Roman" w:cs="Times New Roman" w:eastAsia="Times New Roman" w:hAnsi="Times New Roman"/>
                <w:sz w:val="20"/>
                <w:szCs w:val="20"/>
              </w:rPr>
              <w:t xml:space="preserve">44,900</w:t>
            </w:r>
          </w:p>
        </w:tc>
        <w:tc>
          <w:tcPr>
            <w:tcW w:type="dxa" w:w="2680"/>
          </w:tcPr>
          <w:p>
            <w:pPr>
              <w:spacing w:line="276"/>
            </w:pPr>
            <w:r>
              <w:rPr>
                <w:rFonts w:ascii="Times New Roman" w:cs="Times New Roman" w:eastAsia="Times New Roman" w:hAnsi="Times New Roman"/>
                <w:sz w:val="20"/>
                <w:szCs w:val="20"/>
              </w:rPr>
              <w:t xml:space="preserve">Professional Dashboard</w:t>
            </w:r>
          </w:p>
        </w:tc>
      </w:tr>
      <w:tr>
        <w:tc>
          <w:tcPr>
            <w:tcW w:type="dxa" w:w="4000"/>
          </w:tcPr>
          <w:p>
            <w:pPr>
              <w:spacing w:line="276"/>
            </w:pPr>
            <w:r>
              <w:rPr>
                <w:rFonts w:ascii="Times New Roman" w:cs="Times New Roman" w:eastAsia="Times New Roman" w:hAnsi="Times New Roman"/>
                <w:sz w:val="20"/>
                <w:szCs w:val="20"/>
              </w:rPr>
              <w:t xml:space="preserve">Akaun Dicapai (Reach)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r>
        <w:tc>
          <w:tcPr>
            <w:tcW w:type="dxa" w:w="4000"/>
          </w:tcPr>
          <w:p>
            <w:pPr>
              <w:spacing w:line="276"/>
            </w:pPr>
            <w:r>
              <w:rPr>
                <w:rFonts w:ascii="Times New Roman" w:cs="Times New Roman" w:eastAsia="Times New Roman" w:hAnsi="Times New Roman"/>
                <w:sz w:val="20"/>
                <w:szCs w:val="20"/>
              </w:rPr>
              <w:t xml:space="preserve">Kunjungan Profil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r>
        <w:tc>
          <w:tcPr>
            <w:tcW w:type="dxa" w:w="4000"/>
          </w:tcPr>
          <w:p>
            <w:pPr>
              <w:spacing w:line="276"/>
            </w:pPr>
            <w:r>
              <w:rPr>
                <w:rFonts w:ascii="Times New Roman" w:cs="Times New Roman" w:eastAsia="Times New Roman" w:hAnsi="Times New Roman"/>
                <w:sz w:val="20"/>
                <w:szCs w:val="20"/>
              </w:rPr>
              <w:t xml:space="preserve">Klik Pautan Bio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organik menunjukkan jurang yang ketara: Instagram mencatatkan 165 pengikut berbanding TikTok 13,800 pengikut, iaitu nisbah kira-kira 1:84. Perbezaan ini menunjukkan audiens sasaran kempen — lepasan SPM berumur 17 hingga 25 tahun — jauh lebih aktif di TikTok. Dapatan ini menyokong keputusan strategik menumpukan sumber pengeluaran kandungan dan belanjawan iklan kepada TikTok.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Walau bagaimanapun, paparan kandungan Instagram sebanyak 44,900 dalam tempoh 30 hari terkini menunjukkan jangkauan yang jauh melebihi bilangan pengikut. Ini mencadangkan Instagram masih mempunyai potensi pertumbuhan sekiranya frekuensi penerbitan Reels ditingkatkan, memandangkan kandungan video yang sama telah pun dihasilkan untuk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 Professional Dashboard → Insights → Tukar tempoh ke Jan–Jun 2026 → Screenshot paparan Accounts Reached, Accounts Engaged, Total Followers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 Screenshot 5 siaran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Platform Facebook dan Meta Ads</w:t>
      </w:r>
    </w:p>
    <w:p>
      <w:pPr>
        <w:spacing w:after="240" w:before="0" w:line="360" w:lineRule="auto"/>
      </w:pPr>
      <w:r>
        <w:rPr>
          <w:rFonts w:ascii="Times New Roman" w:cs="Times New Roman" w:eastAsia="Times New Roman" w:hAnsi="Times New Roman"/>
          <w:sz w:val="24"/>
          <w:szCs w:val="24"/>
        </w:rPr>
        <w:t xml:space="preserve">Facebook berfungsi dalam kempen ini sebagai saluran organik sokongan dan sebagai platform penempatan (placement) bagi kempen Meta Ads. Kandungan video yang dihasilkan untuk TikTok diterbitkan semula di halaman Facebook bagi menjangkau Persona B, iaitu ibu bapa dan penjaga yang lebih aktif di platform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Facebook Organik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Business Suite → Insights → Facebook Page → Tukar tempoh kepada Jan–Jun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Facebook Organik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Jangkauan Organik</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r>
        <w:tc>
          <w:tcPr>
            <w:tcW w:type="dxa" w:w="4000"/>
          </w:tcPr>
          <w:p>
            <w:pPr>
              <w:spacing w:line="276"/>
            </w:pPr>
            <w:r>
              <w:rPr>
                <w:rFonts w:ascii="Times New Roman" w:cs="Times New Roman" w:eastAsia="Times New Roman" w:hAnsi="Times New Roman"/>
                <w:sz w:val="20"/>
                <w:szCs w:val="20"/>
              </w:rPr>
              <w:t xml:space="preserve">Tayangan Kandungan</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r>
        <w:tc>
          <w:tcPr>
            <w:tcW w:type="dxa" w:w="4000"/>
          </w:tcPr>
          <w:p>
            <w:pPr>
              <w:spacing w:line="276"/>
            </w:pPr>
            <w:r>
              <w:rPr>
                <w:rFonts w:ascii="Times New Roman" w:cs="Times New Roman" w:eastAsia="Times New Roman" w:hAnsi="Times New Roman"/>
                <w:sz w:val="20"/>
                <w:szCs w:val="20"/>
              </w:rPr>
              <w:t xml:space="preserve">Penglibatan Halaman</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r>
        <w:tc>
          <w:tcPr>
            <w:tcW w:type="dxa" w:w="4000"/>
          </w:tcPr>
          <w:p>
            <w:pPr>
              <w:spacing w:line="276"/>
            </w:pPr>
            <w:r>
              <w:rPr>
                <w:rFonts w:ascii="Times New Roman" w:cs="Times New Roman" w:eastAsia="Times New Roman" w:hAnsi="Times New Roman"/>
                <w:sz w:val="20"/>
                <w:szCs w:val="20"/>
              </w:rPr>
              <w:t xml:space="preserve">Pengikut Baharu</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D-1: Meta Business Suite → Insights → Facebook Page → Tukar tempoh ke Jan–Jun 2026 → Screenshot Overview (Reach, Engagement, New Followers)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3.6: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Ads Manager → Campaigns → Pilih tempoh Jan–Jun 2026 → Screenshot keseluruhan jadual.</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Perbelanjaan Iklan (RM)</w:t>
            </w:r>
          </w:p>
        </w:tc>
        <w:tc>
          <w:tcPr>
            <w:tcW w:type="dxa" w:w="4360"/>
          </w:tcPr>
          <w:p>
            <w:pPr>
              <w:spacing w:line="276"/>
            </w:pPr>
            <w:r>
              <w:rPr>
                <w:rFonts w:ascii="Times New Roman" w:cs="Times New Roman" w:eastAsia="Times New Roman" w:hAnsi="Times New Roman"/>
                <w:sz w:val="20"/>
                <w:szCs w:val="20"/>
              </w:rPr>
              <w:t xml:space="preserve">⚠️ ISI — cari dalam Ads Manager "Amount Spent"</w:t>
            </w:r>
          </w:p>
        </w:tc>
      </w:tr>
      <w:tr>
        <w:tc>
          <w:tcPr>
            <w:tcW w:type="dxa" w:w="5000"/>
          </w:tcPr>
          <w:p>
            <w:pPr>
              <w:spacing w:line="276"/>
            </w:pPr>
            <w:r>
              <w:rPr>
                <w:rFonts w:ascii="Times New Roman" w:cs="Times New Roman" w:eastAsia="Times New Roman" w:hAnsi="Times New Roman"/>
                <w:sz w:val="20"/>
                <w:szCs w:val="20"/>
              </w:rPr>
              <w:t xml:space="preserve">Jangkauan Iklan (Unik)</w:t>
            </w:r>
          </w:p>
        </w:tc>
        <w:tc>
          <w:tcPr>
            <w:tcW w:type="dxa" w:w="4360"/>
          </w:tcPr>
          <w:p>
            <w:pPr>
              <w:spacing w:line="276"/>
            </w:pPr>
            <w:r>
              <w:rPr>
                <w:rFonts w:ascii="Times New Roman" w:cs="Times New Roman" w:eastAsia="Times New Roman" w:hAnsi="Times New Roman"/>
                <w:sz w:val="20"/>
                <w:szCs w:val="20"/>
              </w:rPr>
              <w:t xml:space="preserve">⚠️ ISI — "Reach"</w:t>
            </w:r>
          </w:p>
        </w:tc>
      </w:tr>
      <w:tr>
        <w:tc>
          <w:tcPr>
            <w:tcW w:type="dxa" w:w="5000"/>
          </w:tcPr>
          <w:p>
            <w:pPr>
              <w:spacing w:line="276"/>
            </w:pPr>
            <w:r>
              <w:rPr>
                <w:rFonts w:ascii="Times New Roman" w:cs="Times New Roman" w:eastAsia="Times New Roman" w:hAnsi="Times New Roman"/>
                <w:sz w:val="20"/>
                <w:szCs w:val="20"/>
              </w:rPr>
              <w:t xml:space="preserve">Tayangan Iklan</w:t>
            </w:r>
          </w:p>
        </w:tc>
        <w:tc>
          <w:tcPr>
            <w:tcW w:type="dxa" w:w="4360"/>
          </w:tcPr>
          <w:p>
            <w:pPr>
              <w:spacing w:line="276"/>
            </w:pPr>
            <w:r>
              <w:rPr>
                <w:rFonts w:ascii="Times New Roman" w:cs="Times New Roman" w:eastAsia="Times New Roman" w:hAnsi="Times New Roman"/>
                <w:sz w:val="20"/>
                <w:szCs w:val="20"/>
              </w:rPr>
              <w:t xml:space="preserve">⚠️ ISI — "Impressions"</w:t>
            </w:r>
          </w:p>
        </w:tc>
      </w:tr>
      <w:tr>
        <w:tc>
          <w:tcPr>
            <w:tcW w:type="dxa" w:w="5000"/>
          </w:tcPr>
          <w:p>
            <w:pPr>
              <w:spacing w:line="276"/>
            </w:pPr>
            <w:r>
              <w:rPr>
                <w:rFonts w:ascii="Times New Roman" w:cs="Times New Roman" w:eastAsia="Times New Roman" w:hAnsi="Times New Roman"/>
                <w:sz w:val="20"/>
                <w:szCs w:val="20"/>
              </w:rPr>
              <w:t xml:space="preserve">Kadar Klik Lalu / CTR (%)</w:t>
            </w:r>
          </w:p>
        </w:tc>
        <w:tc>
          <w:tcPr>
            <w:tcW w:type="dxa" w:w="4360"/>
          </w:tcPr>
          <w:p>
            <w:pPr>
              <w:spacing w:line="276"/>
            </w:pPr>
            <w:r>
              <w:rPr>
                <w:rFonts w:ascii="Times New Roman" w:cs="Times New Roman" w:eastAsia="Times New Roman" w:hAnsi="Times New Roman"/>
                <w:sz w:val="20"/>
                <w:szCs w:val="20"/>
              </w:rPr>
              <w:t xml:space="preserve">⚠️ ISI — "CTR (Link Click-Through Rate)"</w:t>
            </w:r>
          </w:p>
        </w:tc>
      </w:tr>
      <w:tr>
        <w:tc>
          <w:tcPr>
            <w:tcW w:type="dxa" w:w="5000"/>
          </w:tcPr>
          <w:p>
            <w:pPr>
              <w:spacing w:line="276"/>
            </w:pPr>
            <w:r>
              <w:rPr>
                <w:rFonts w:ascii="Times New Roman" w:cs="Times New Roman" w:eastAsia="Times New Roman" w:hAnsi="Times New Roman"/>
                <w:sz w:val="20"/>
                <w:szCs w:val="20"/>
              </w:rPr>
              <w:t xml:space="preserve">Kos Per Klik / CPC (RM)</w:t>
            </w:r>
          </w:p>
        </w:tc>
        <w:tc>
          <w:tcPr>
            <w:tcW w:type="dxa" w:w="4360"/>
          </w:tcPr>
          <w:p>
            <w:pPr>
              <w:spacing w:line="276"/>
            </w:pPr>
            <w:r>
              <w:rPr>
                <w:rFonts w:ascii="Times New Roman" w:cs="Times New Roman" w:eastAsia="Times New Roman" w:hAnsi="Times New Roman"/>
                <w:sz w:val="20"/>
                <w:szCs w:val="20"/>
              </w:rPr>
              <w:t xml:space="preserve">⚠️ ISI — "CPC (Cost Per Link Click)"</w:t>
            </w:r>
          </w:p>
        </w:tc>
      </w:tr>
      <w:tr>
        <w:tc>
          <w:tcPr>
            <w:tcW w:type="dxa" w:w="5000"/>
          </w:tcPr>
          <w:p>
            <w:pPr>
              <w:spacing w:line="276"/>
            </w:pPr>
            <w:r>
              <w:rPr>
                <w:rFonts w:ascii="Times New Roman" w:cs="Times New Roman" w:eastAsia="Times New Roman" w:hAnsi="Times New Roman"/>
                <w:sz w:val="20"/>
                <w:szCs w:val="20"/>
              </w:rPr>
              <w:t xml:space="preserve">Bilangan Prospek Dijana — Meta Ads</w:t>
            </w:r>
          </w:p>
        </w:tc>
        <w:tc>
          <w:tcPr>
            <w:tcW w:type="dxa" w:w="4360"/>
          </w:tcPr>
          <w:p>
            <w:pPr>
              <w:spacing w:line="276"/>
            </w:pPr>
            <w:r>
              <w:rPr>
                <w:rFonts w:ascii="Times New Roman" w:cs="Times New Roman" w:eastAsia="Times New Roman" w:hAnsi="Times New Roman"/>
                <w:sz w:val="20"/>
                <w:szCs w:val="20"/>
              </w:rPr>
              <w:t xml:space="preserve">2,336 prospek (borang Lead Generation)</w:t>
            </w:r>
          </w:p>
        </w:tc>
      </w:tr>
      <w:tr>
        <w:tc>
          <w:tcPr>
            <w:tcW w:type="dxa" w:w="5000"/>
          </w:tcPr>
          <w:p>
            <w:pPr>
              <w:spacing w:line="276"/>
            </w:pPr>
            <w:r>
              <w:rPr>
                <w:rFonts w:ascii="Times New Roman" w:cs="Times New Roman" w:eastAsia="Times New Roman" w:hAnsi="Times New Roman"/>
                <w:sz w:val="20"/>
                <w:szCs w:val="20"/>
              </w:rPr>
              <w:t xml:space="preserve">Kos Per Prospek / CPL (RM)</w:t>
            </w:r>
          </w:p>
        </w:tc>
        <w:tc>
          <w:tcPr>
            <w:tcW w:type="dxa" w:w="4360"/>
          </w:tcPr>
          <w:p>
            <w:pPr>
              <w:spacing w:line="276"/>
            </w:pPr>
            <w:r>
              <w:rPr>
                <w:rFonts w:ascii="Times New Roman" w:cs="Times New Roman" w:eastAsia="Times New Roman" w:hAnsi="Times New Roman"/>
                <w:sz w:val="20"/>
                <w:szCs w:val="20"/>
              </w:rPr>
              <w:t xml:space="preserve">⚠️ ISI — kirakan: Jumlah Perbelanjaan ÷ 2,336 prospek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menghasilkan 2,336 prospek (67.3% daripada keseluruhan prospek kempen) melalui borang Lead Generation dalam talian. Kempen mencapai puncak pada bulan April 2026 dengan 798 prospek sebulan sebelum menurun ketara kepada hanya 56 prospek pada Jun 2026. Penurunan ini berlaku bertepatan dengan pertumbuhan mendadak TikTok Ads, mencadangkan kemungkinan pengurangan belanjawan Meta Ads untuk menambah peruntukan kepada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D-3: Meta Ads Manager → Ads (peringkat iklan) → Screenshot 3 iklan dengan CTR tertinggi dan 2 iklan dengan CTR terendah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3.7: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Google Search Console → Performance → Search Results → Tukar tarikh ke Jan 1 – Jun 30,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Jumlah Tayangan</w:t>
            </w:r>
          </w:p>
        </w:tc>
        <w:tc>
          <w:tcPr>
            <w:tcW w:type="dxa" w:w="4360"/>
          </w:tcPr>
          <w:p>
            <w:pPr>
              <w:spacing w:line="276"/>
            </w:pPr>
            <w:r>
              <w:rPr>
                <w:rFonts w:ascii="Times New Roman" w:cs="Times New Roman" w:eastAsia="Times New Roman" w:hAnsi="Times New Roman"/>
                <w:sz w:val="20"/>
                <w:szCs w:val="20"/>
              </w:rPr>
              <w:t xml:space="preserve">⚠️ ISI — lihat "Total impressions" di Search Console</w:t>
            </w:r>
          </w:p>
        </w:tc>
      </w:tr>
      <w:tr>
        <w:tc>
          <w:tcPr>
            <w:tcW w:type="dxa" w:w="5000"/>
          </w:tcPr>
          <w:p>
            <w:pPr>
              <w:spacing w:line="276"/>
            </w:pPr>
            <w:r>
              <w:rPr>
                <w:rFonts w:ascii="Times New Roman" w:cs="Times New Roman" w:eastAsia="Times New Roman" w:hAnsi="Times New Roman"/>
                <w:sz w:val="20"/>
                <w:szCs w:val="20"/>
              </w:rPr>
              <w:t xml:space="preserve">Kadar Klik Lalu (CTR) Purata (%)</w:t>
            </w:r>
          </w:p>
        </w:tc>
        <w:tc>
          <w:tcPr>
            <w:tcW w:type="dxa" w:w="4360"/>
          </w:tcPr>
          <w:p>
            <w:pPr>
              <w:spacing w:line="276"/>
            </w:pPr>
            <w:r>
              <w:rPr>
                <w:rFonts w:ascii="Times New Roman" w:cs="Times New Roman" w:eastAsia="Times New Roman" w:hAnsi="Times New Roman"/>
                <w:sz w:val="20"/>
                <w:szCs w:val="20"/>
              </w:rPr>
              <w:t xml:space="preserve">⚠️ ISI — lihat "Average CTR"</w:t>
            </w:r>
          </w:p>
        </w:tc>
      </w:tr>
      <w:tr>
        <w:tc>
          <w:tcPr>
            <w:tcW w:type="dxa" w:w="5000"/>
          </w:tcPr>
          <w:p>
            <w:pPr>
              <w:spacing w:line="276"/>
            </w:pPr>
            <w:r>
              <w:rPr>
                <w:rFonts w:ascii="Times New Roman" w:cs="Times New Roman" w:eastAsia="Times New Roman" w:hAnsi="Times New Roman"/>
                <w:sz w:val="20"/>
                <w:szCs w:val="20"/>
              </w:rPr>
              <w:t xml:space="preserve">Kedudukan Purata</w:t>
            </w:r>
          </w:p>
        </w:tc>
        <w:tc>
          <w:tcPr>
            <w:tcW w:type="dxa" w:w="4360"/>
          </w:tcPr>
          <w:p>
            <w:pPr>
              <w:spacing w:line="276"/>
            </w:pPr>
            <w:r>
              <w:rPr>
                <w:rFonts w:ascii="Times New Roman" w:cs="Times New Roman" w:eastAsia="Times New Roman" w:hAnsi="Times New Roman"/>
                <w:sz w:val="20"/>
                <w:szCs w:val="20"/>
              </w:rPr>
              <w:t xml:space="preserve">⚠️ ISI — lihat "Average position"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5 Kata Kunci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500"/>
        <w:gridCol w:w="15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Kedudukan</w:t>
            </w:r>
          </w:p>
        </w:tc>
      </w:tr>
      <w:tr>
        <w:tc>
          <w:tcPr>
            <w:tcW w:type="dxa" w:w="3000"/>
          </w:tcPr>
          <w:p>
            <w:pPr>
              <w:spacing w:line="276"/>
            </w:pPr>
            <w:r>
              <w:rPr>
                <w:rFonts w:ascii="Times New Roman" w:cs="Times New Roman" w:eastAsia="Times New Roman" w:hAnsi="Times New Roman"/>
                <w:sz w:val="20"/>
                <w:szCs w:val="20"/>
              </w:rPr>
              <w:t xml:space="preserve">tvet lipis</w:t>
            </w:r>
          </w:p>
        </w:tc>
        <w:tc>
          <w:tcPr>
            <w:tcW w:type="dxa" w:w="1200"/>
          </w:tcPr>
          <w:p>
            <w:pPr>
              <w:spacing w:line="276"/>
            </w:pPr>
            <w:r>
              <w:rPr>
                <w:rFonts w:ascii="Times New Roman" w:cs="Times New Roman" w:eastAsia="Times New Roman" w:hAnsi="Times New Roman"/>
                <w:sz w:val="20"/>
                <w:szCs w:val="20"/>
              </w:rPr>
              <w:t xml:space="preserve">120</w:t>
            </w:r>
          </w:p>
        </w:tc>
        <w:tc>
          <w:tcPr>
            <w:tcW w:type="dxa" w:w="1500"/>
          </w:tcPr>
          <w:p>
            <w:pPr>
              <w:spacing w:line="276"/>
            </w:pPr>
            <w:r>
              <w:rPr>
                <w:rFonts w:ascii="Times New Roman" w:cs="Times New Roman" w:eastAsia="Times New Roman" w:hAnsi="Times New Roman"/>
                <w:sz w:val="20"/>
                <w:szCs w:val="20"/>
              </w:rPr>
              <w:t xml:space="preserve">603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tvet kuala lipis</w:t>
            </w:r>
          </w:p>
        </w:tc>
        <w:tc>
          <w:tcPr>
            <w:tcW w:type="dxa" w:w="1200"/>
          </w:tcPr>
          <w:p>
            <w:pPr>
              <w:spacing w:line="276"/>
            </w:pPr>
            <w:r>
              <w:rPr>
                <w:rFonts w:ascii="Times New Roman" w:cs="Times New Roman" w:eastAsia="Times New Roman" w:hAnsi="Times New Roman"/>
                <w:sz w:val="20"/>
                <w:szCs w:val="20"/>
              </w:rPr>
              <w:t xml:space="preserve">22</w:t>
            </w:r>
          </w:p>
        </w:tc>
        <w:tc>
          <w:tcPr>
            <w:tcW w:type="dxa" w:w="1500"/>
          </w:tcPr>
          <w:p>
            <w:pPr>
              <w:spacing w:line="276"/>
            </w:pPr>
            <w:r>
              <w:rPr>
                <w:rFonts w:ascii="Times New Roman" w:cs="Times New Roman" w:eastAsia="Times New Roman" w:hAnsi="Times New Roman"/>
                <w:sz w:val="20"/>
                <w:szCs w:val="20"/>
              </w:rPr>
              <w:t xml:space="preserve">173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kolej islam antarabangsa kuala lipis</w:t>
            </w:r>
          </w:p>
        </w:tc>
        <w:tc>
          <w:tcPr>
            <w:tcW w:type="dxa" w:w="1200"/>
          </w:tcPr>
          <w:p>
            <w:pPr>
              <w:spacing w:line="276"/>
            </w:pPr>
            <w:r>
              <w:rPr>
                <w:rFonts w:ascii="Times New Roman" w:cs="Times New Roman" w:eastAsia="Times New Roman" w:hAnsi="Times New Roman"/>
                <w:sz w:val="20"/>
                <w:szCs w:val="20"/>
              </w:rPr>
              <w:t xml:space="preserve">18</w:t>
            </w:r>
          </w:p>
        </w:tc>
        <w:tc>
          <w:tcPr>
            <w:tcW w:type="dxa" w:w="1500"/>
          </w:tcPr>
          <w:p>
            <w:pPr>
              <w:spacing w:line="276"/>
            </w:pPr>
            <w:r>
              <w:rPr>
                <w:rFonts w:ascii="Times New Roman" w:cs="Times New Roman" w:eastAsia="Times New Roman" w:hAnsi="Times New Roman"/>
                <w:sz w:val="20"/>
                <w:szCs w:val="20"/>
              </w:rPr>
              <w:t xml:space="preserve">324</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KE-4</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KE-5</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Kata kunci berjenama "tvet lipis" mencatatkan 120 klik daripada 603 tayangan, menjadikannya kata kunci utama yang mendorong trafik organik ke tvetlipis.my. Peningkatan carian berjenama ini mencerminkan kesan spillover positif daripada aktiviti media sosial yang meningkatkan kesedaran jenama TVET Lipis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Status Prospek dalam Sistem CRM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Status Peringkat dalam CRM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Lead (status asal semasa prospek dijana)</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Contacted (dikemas kini oleh pasukan pengambilan)</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Potential (menunjukkan minat serius)</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Customer (mendaftar sebagai pelajar)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Cold (tidak lagi berminat)</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Sebanyak 16 prospek (0.46%) telah disahkan mendaftar sebagai pelajar sepanjang tempoh kempen. Perlu ditegaskan bahawa angka status dalam Jadual 3.12 mewakili rekod yang dikemas kini dalam sistem CRM dan bukan gambaran sebenar aktiviti susulan yang dijalankan. Sistem CRM ini masih dalam fasa pelaksanaan sepanjang tempoh kempen, dan pasukan pengambilan menjalankan susulan melalui WhatsApp tanpa mengemas kini status setiap prospek dalam sistem. Justeru, bilangan prospek yang kekal berstatus "Lead" tidak boleh ditafsirkan sebagai prospek yang tidak dihubungi.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Batasan data ini bermakna kadar penukaran sebenar bagi prospek yang telah dihubungi tidak dapat dikira dengan tepat daripada data CRM semasa. Bagi tujuan LPKT ini, angka 16 pendaftaran disahkan digunakan sebagai penunjuk hasil akhir kempen, manakala analisis prestasi kempen tertumpu kepada metrik yang berada dalam kawalan aktiviti pemasaran media sosial — iaitu jangkauan, penglibatan, bilangan prospek dijana dan kos per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Profil Demografi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35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Peratusan</w:t>
            </w:r>
          </w:p>
        </w:tc>
        <w:tc>
          <w:tcPr>
            <w:tcW w:type="dxa" w:w="3560"/>
            <w:shd w:fill="D9D9D9" w:color="D9D9D9" w:val="clear"/>
          </w:tcPr>
          <w:p>
            <w:pPr>
              <w:spacing w:line="276"/>
            </w:pPr>
            <w:r>
              <w:rPr>
                <w:rFonts w:ascii="Times New Roman" w:cs="Times New Roman" w:eastAsia="Times New Roman" w:hAnsi="Times New Roman"/>
                <w:b/>
                <w:bCs/>
                <w:sz w:val="20"/>
                <w:szCs w:val="20"/>
              </w:rPr>
              <w:t xml:space="preserve">Asas Pengiraan</w:t>
            </w:r>
          </w:p>
        </w:tc>
      </w:tr>
      <w:tr>
        <w:tc>
          <w:tcPr>
            <w:tcW w:type="dxa" w:w="2800"/>
          </w:tcPr>
          <w:p>
            <w:pPr>
              <w:spacing w:line="276"/>
            </w:pPr>
            <w:r>
              <w:rPr>
                <w:rFonts w:ascii="Times New Roman" w:cs="Times New Roman" w:eastAsia="Times New Roman" w:hAnsi="Times New Roman"/>
                <w:sz w:val="20"/>
                <w:szCs w:val="20"/>
              </w:rPr>
              <w:t xml:space="preserve">Umur 18 tahun ke bawah</w:t>
            </w:r>
          </w:p>
        </w:tc>
        <w:tc>
          <w:tcPr>
            <w:tcW w:type="dxa" w:w="1500"/>
          </w:tcPr>
          <w:p>
            <w:pPr>
              <w:spacing w:line="276"/>
            </w:pPr>
            <w:r>
              <w:rPr>
                <w:rFonts w:ascii="Times New Roman" w:cs="Times New Roman" w:eastAsia="Times New Roman" w:hAnsi="Times New Roman"/>
                <w:sz w:val="20"/>
                <w:szCs w:val="20"/>
              </w:rPr>
              <w:t xml:space="preserve">748</w:t>
            </w:r>
          </w:p>
        </w:tc>
        <w:tc>
          <w:tcPr>
            <w:tcW w:type="dxa" w:w="1500"/>
          </w:tcPr>
          <w:p>
            <w:pPr>
              <w:spacing w:line="276"/>
            </w:pPr>
            <w:r>
              <w:rPr>
                <w:rFonts w:ascii="Times New Roman" w:cs="Times New Roman" w:eastAsia="Times New Roman" w:hAnsi="Times New Roman"/>
                <w:sz w:val="20"/>
                <w:szCs w:val="20"/>
              </w:rPr>
              <w:t xml:space="preserve">66.1%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19–21 tahun</w:t>
            </w:r>
          </w:p>
        </w:tc>
        <w:tc>
          <w:tcPr>
            <w:tcW w:type="dxa" w:w="1500"/>
          </w:tcPr>
          <w:p>
            <w:pPr>
              <w:spacing w:line="276"/>
            </w:pPr>
            <w:r>
              <w:rPr>
                <w:rFonts w:ascii="Times New Roman" w:cs="Times New Roman" w:eastAsia="Times New Roman" w:hAnsi="Times New Roman"/>
                <w:sz w:val="20"/>
                <w:szCs w:val="20"/>
              </w:rPr>
              <w:t xml:space="preserve">230</w:t>
            </w:r>
          </w:p>
        </w:tc>
        <w:tc>
          <w:tcPr>
            <w:tcW w:type="dxa" w:w="1500"/>
          </w:tcPr>
          <w:p>
            <w:pPr>
              <w:spacing w:line="276"/>
            </w:pPr>
            <w:r>
              <w:rPr>
                <w:rFonts w:ascii="Times New Roman" w:cs="Times New Roman" w:eastAsia="Times New Roman" w:hAnsi="Times New Roman"/>
                <w:sz w:val="20"/>
                <w:szCs w:val="20"/>
              </w:rPr>
              <w:t xml:space="preserve">20.3%</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22–25 tahun</w:t>
            </w:r>
          </w:p>
        </w:tc>
        <w:tc>
          <w:tcPr>
            <w:tcW w:type="dxa" w:w="1500"/>
          </w:tcPr>
          <w:p>
            <w:pPr>
              <w:spacing w:line="276"/>
            </w:pPr>
            <w:r>
              <w:rPr>
                <w:rFonts w:ascii="Times New Roman" w:cs="Times New Roman" w:eastAsia="Times New Roman" w:hAnsi="Times New Roman"/>
                <w:sz w:val="20"/>
                <w:szCs w:val="20"/>
              </w:rPr>
              <w:t xml:space="preserve">103</w:t>
            </w:r>
          </w:p>
        </w:tc>
        <w:tc>
          <w:tcPr>
            <w:tcW w:type="dxa" w:w="1500"/>
          </w:tcPr>
          <w:p>
            <w:pPr>
              <w:spacing w:line="276"/>
            </w:pPr>
            <w:r>
              <w:rPr>
                <w:rFonts w:ascii="Times New Roman" w:cs="Times New Roman" w:eastAsia="Times New Roman" w:hAnsi="Times New Roman"/>
                <w:sz w:val="20"/>
                <w:szCs w:val="20"/>
              </w:rPr>
              <w:t xml:space="preserve">9.1%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melebihi 25 tahun</w:t>
            </w:r>
          </w:p>
        </w:tc>
        <w:tc>
          <w:tcPr>
            <w:tcW w:type="dxa" w:w="1500"/>
          </w:tcPr>
          <w:p>
            <w:pPr>
              <w:spacing w:line="276"/>
            </w:pPr>
            <w:r>
              <w:rPr>
                <w:rFonts w:ascii="Times New Roman" w:cs="Times New Roman" w:eastAsia="Times New Roman" w:hAnsi="Times New Roman"/>
                <w:sz w:val="20"/>
                <w:szCs w:val="20"/>
              </w:rPr>
              <w:t xml:space="preserve">51</w:t>
            </w:r>
          </w:p>
        </w:tc>
        <w:tc>
          <w:tcPr>
            <w:tcW w:type="dxa" w:w="1500"/>
          </w:tcPr>
          <w:p>
            <w:pPr>
              <w:spacing w:line="276"/>
            </w:pPr>
            <w:r>
              <w:rPr>
                <w:rFonts w:ascii="Times New Roman" w:cs="Times New Roman" w:eastAsia="Times New Roman" w:hAnsi="Times New Roman"/>
                <w:sz w:val="20"/>
                <w:szCs w:val="20"/>
              </w:rPr>
              <w:t xml:space="preserve">4.5%</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Jantina — Perempuan</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90%</w:t>
            </w:r>
          </w:p>
        </w:tc>
        <w:tc>
          <w:tcPr>
            <w:tcW w:type="dxa" w:w="3560"/>
          </w:tcPr>
          <w:p>
            <w:pPr>
              <w:spacing w:line="276"/>
            </w:pPr>
            <w:r>
              <w:rPr>
                <w:rFonts w:ascii="Times New Roman" w:cs="Times New Roman" w:eastAsia="Times New Roman" w:hAnsi="Times New Roman"/>
                <w:sz w:val="20"/>
                <w:szCs w:val="20"/>
              </w:rPr>
              <w:t xml:space="preserve">Rekod berjantina diketahui</w:t>
            </w:r>
          </w:p>
        </w:tc>
      </w:tr>
      <w:tr>
        <w:tc>
          <w:tcPr>
            <w:tcW w:type="dxa" w:w="2800"/>
          </w:tcPr>
          <w:p>
            <w:pPr>
              <w:spacing w:line="276"/>
            </w:pPr>
            <w:r>
              <w:rPr>
                <w:rFonts w:ascii="Times New Roman" w:cs="Times New Roman" w:eastAsia="Times New Roman" w:hAnsi="Times New Roman"/>
                <w:sz w:val="20"/>
                <w:szCs w:val="20"/>
              </w:rPr>
              <w:t xml:space="preserve">Jantina — Lelaki</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10%</w:t>
            </w:r>
          </w:p>
        </w:tc>
        <w:tc>
          <w:tcPr>
            <w:tcW w:type="dxa" w:w="3560"/>
          </w:tcPr>
          <w:p>
            <w:pPr>
              <w:spacing w:line="276"/>
            </w:pPr>
            <w:r>
              <w:rPr>
                <w:rFonts w:ascii="Times New Roman" w:cs="Times New Roman" w:eastAsia="Times New Roman" w:hAnsi="Times New Roman"/>
                <w:sz w:val="20"/>
                <w:szCs w:val="20"/>
              </w:rPr>
              <w:t xml:space="preserve">Rekod berjantina diketahui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Daripada 1,132 rekod yang mempunyai maklumat umur, 978 prospek (86.4%) berumur 21 tahun ke bawah — iaitu kumpulan lepasan SPM yang menjadi Persona A dalam perancangan kempen. Hanya 51 prospek (4.5%) berumur melebihi 25 tahun, mencadangkan pembaziran penyasaran adalah minimum. Majoriti prospek (90%) adalah perempuan, selaras dengan dominasi permintaan bagi kursus PAKK dan Pra-Sekolah yang secara tradisinya menarik lebih ramai calon perempuan.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medan umur hanya ditangkap secara konsisten oleh borang TikTok Ads. Justeru, analisis umur di atas mewakili 32.6% daripada keseluruhan 3,470 prospek dan tidak boleh diekstrapolasi secara langsung kepada keseluruhan populasi prospek. Peratusan jantina pula dikira berdasarkan rekod yang mempunyai maklumat jantina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Analisis Keberkesanan Kos Kempen Iklan Berbayar</w:t>
      </w:r>
    </w:p>
    <w:p>
      <w:pPr>
        <w:spacing w:after="240" w:before="0" w:line="360" w:lineRule="auto"/>
      </w:pPr>
      <w:r>
        <w:rPr>
          <w:rFonts w:ascii="Times New Roman" w:cs="Times New Roman" w:eastAsia="Times New Roman" w:hAnsi="Times New Roman"/>
          <w:sz w:val="24"/>
          <w:szCs w:val="24"/>
        </w:rPr>
        <w:t xml:space="preserve">Seksyen ini menilai keberkesanan kos kempen iklan berbayar dengan mengira Kos Per Prospek (Cost Per Lead, CPL), iaitu metrik utama bagi menilai kecekapan perbelanjaan kempen penjanaan prospek. Data perbelanjaan diperoleh daripada penyata bil rasmi Meta Platforms Ireland Limited bagi tempoh 1 Januari hingga 1 Julai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3.15: Ringkasan Perbelanjaan dan Kos Per Prospek Mengikut Platform (asas: penyata bil platform dan rekod prospek CRM)</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0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Platform Iklan</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Prospek Dijana</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Kos Per Prospek (RM)</w:t>
            </w:r>
          </w:p>
        </w:tc>
      </w:tr>
      <w:tr>
        <w:tc>
          <w:tcPr>
            <w:tcW w:type="dxa" w:w="3000"/>
          </w:tcPr>
          <w:p>
            <w:pPr>
              <w:spacing w:line="276"/>
            </w:pPr>
            <w:r>
              <w:rPr>
                <w:rFonts w:ascii="Times New Roman" w:cs="Times New Roman" w:eastAsia="Times New Roman" w:hAnsi="Times New Roman"/>
                <w:sz w:val="20"/>
                <w:szCs w:val="20"/>
              </w:rPr>
              <w:t xml:space="preserve">Meta Ads (Facebook &amp; Instagram)</w:t>
            </w:r>
          </w:p>
        </w:tc>
        <w:tc>
          <w:tcPr>
            <w:tcW w:type="dxa" w:w="2200"/>
          </w:tcPr>
          <w:p>
            <w:pPr>
              <w:spacing w:line="276"/>
            </w:pPr>
            <w:r>
              <w:rPr>
                <w:rFonts w:ascii="Times New Roman" w:cs="Times New Roman" w:eastAsia="Times New Roman" w:hAnsi="Times New Roman"/>
                <w:sz w:val="20"/>
                <w:szCs w:val="20"/>
              </w:rPr>
              <w:t xml:space="preserve">9,987.56</w:t>
            </w:r>
          </w:p>
        </w:tc>
        <w:tc>
          <w:tcPr>
            <w:tcW w:type="dxa" w:w="2000"/>
          </w:tcPr>
          <w:p>
            <w:pPr>
              <w:spacing w:line="276"/>
            </w:pPr>
            <w:r>
              <w:rPr>
                <w:rFonts w:ascii="Times New Roman" w:cs="Times New Roman" w:eastAsia="Times New Roman" w:hAnsi="Times New Roman"/>
                <w:sz w:val="20"/>
                <w:szCs w:val="20"/>
              </w:rPr>
              <w:t xml:space="preserve">2,336</w:t>
            </w:r>
          </w:p>
        </w:tc>
        <w:tc>
          <w:tcPr>
            <w:tcW w:type="dxa" w:w="2160"/>
          </w:tcPr>
          <w:p>
            <w:pPr>
              <w:spacing w:line="276"/>
            </w:pPr>
            <w:r>
              <w:rPr>
                <w:rFonts w:ascii="Times New Roman" w:cs="Times New Roman" w:eastAsia="Times New Roman" w:hAnsi="Times New Roman"/>
                <w:sz w:val="20"/>
                <w:szCs w:val="20"/>
              </w:rPr>
              <w:t xml:space="preserve">4.28</w:t>
            </w:r>
          </w:p>
        </w:tc>
      </w:tr>
      <w:tr>
        <w:tc>
          <w:tcPr>
            <w:tcW w:type="dxa" w:w="3000"/>
          </w:tcPr>
          <w:p>
            <w:pPr>
              <w:spacing w:line="276"/>
            </w:pPr>
            <w:r>
              <w:rPr>
                <w:rFonts w:ascii="Times New Roman" w:cs="Times New Roman" w:eastAsia="Times New Roman" w:hAnsi="Times New Roman"/>
                <w:sz w:val="20"/>
                <w:szCs w:val="20"/>
              </w:rPr>
              <w:t xml:space="preserve">TikTok Ads</w:t>
            </w:r>
          </w:p>
        </w:tc>
        <w:tc>
          <w:tcPr>
            <w:tcW w:type="dxa" w:w="2200"/>
          </w:tcPr>
          <w:p>
            <w:pPr>
              <w:spacing w:line="276"/>
            </w:pPr>
            <w:r>
              <w:rPr>
                <w:rFonts w:ascii="Times New Roman" w:cs="Times New Roman" w:eastAsia="Times New Roman" w:hAnsi="Times New Roman"/>
                <w:sz w:val="20"/>
                <w:szCs w:val="20"/>
              </w:rPr>
              <w:t xml:space="preserve">2,304.83</w:t>
            </w:r>
          </w:p>
        </w:tc>
        <w:tc>
          <w:tcPr>
            <w:tcW w:type="dxa" w:w="2000"/>
          </w:tcPr>
          <w:p>
            <w:pPr>
              <w:spacing w:line="276"/>
            </w:pPr>
            <w:r>
              <w:rPr>
                <w:rFonts w:ascii="Times New Roman" w:cs="Times New Roman" w:eastAsia="Times New Roman" w:hAnsi="Times New Roman"/>
                <w:sz w:val="20"/>
                <w:szCs w:val="20"/>
              </w:rPr>
              <w:t xml:space="preserve">1,134</w:t>
            </w:r>
          </w:p>
        </w:tc>
        <w:tc>
          <w:tcPr>
            <w:tcW w:type="dxa" w:w="2160"/>
          </w:tcPr>
          <w:p>
            <w:pPr>
              <w:spacing w:line="276"/>
            </w:pPr>
            <w:r>
              <w:rPr>
                <w:rFonts w:ascii="Times New Roman" w:cs="Times New Roman" w:eastAsia="Times New Roman" w:hAnsi="Times New Roman"/>
                <w:sz w:val="20"/>
                <w:szCs w:val="20"/>
              </w:rPr>
              <w:t xml:space="preserve">2.03</w:t>
            </w:r>
          </w:p>
        </w:tc>
      </w:tr>
      <w:tr>
        <w:tc>
          <w:tcPr>
            <w:tcW w:type="dxa" w:w="3000"/>
          </w:tcPr>
          <w:p>
            <w:pPr>
              <w:spacing w:line="276"/>
            </w:pPr>
            <w:r>
              <w:rPr>
                <w:rFonts w:ascii="Times New Roman" w:cs="Times New Roman" w:eastAsia="Times New Roman" w:hAnsi="Times New Roman"/>
                <w:sz w:val="20"/>
                <w:szCs w:val="20"/>
              </w:rPr>
              <w:t xml:space="preserve">JUMLAH KESELURUHAN</w:t>
            </w:r>
          </w:p>
        </w:tc>
        <w:tc>
          <w:tcPr>
            <w:tcW w:type="dxa" w:w="2200"/>
          </w:tcPr>
          <w:p>
            <w:pPr>
              <w:spacing w:line="276"/>
            </w:pPr>
            <w:r>
              <w:rPr>
                <w:rFonts w:ascii="Times New Roman" w:cs="Times New Roman" w:eastAsia="Times New Roman" w:hAnsi="Times New Roman"/>
                <w:sz w:val="20"/>
                <w:szCs w:val="20"/>
              </w:rPr>
              <w:t xml:space="preserve">12,292.39</w:t>
            </w:r>
          </w:p>
        </w:tc>
        <w:tc>
          <w:tcPr>
            <w:tcW w:type="dxa" w:w="2000"/>
          </w:tcPr>
          <w:p>
            <w:pPr>
              <w:spacing w:line="276"/>
            </w:pPr>
            <w:r>
              <w:rPr>
                <w:rFonts w:ascii="Times New Roman" w:cs="Times New Roman" w:eastAsia="Times New Roman" w:hAnsi="Times New Roman"/>
                <w:sz w:val="20"/>
                <w:szCs w:val="20"/>
              </w:rPr>
              <w:t xml:space="preserve">3,470</w:t>
            </w:r>
          </w:p>
        </w:tc>
        <w:tc>
          <w:tcPr>
            <w:tcW w:type="dxa" w:w="2160"/>
          </w:tcPr>
          <w:p>
            <w:pPr>
              <w:spacing w:line="276"/>
            </w:pPr>
            <w:r>
              <w:rPr>
                <w:rFonts w:ascii="Times New Roman" w:cs="Times New Roman" w:eastAsia="Times New Roman" w:hAnsi="Times New Roman"/>
                <w:sz w:val="20"/>
                <w:szCs w:val="20"/>
              </w:rPr>
              <w:t xml:space="preserve">3.54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Keseluruhan kempen iklan berbayar melibatkan perbelanjaan RM12,292.39 bagi menjana 3,470 prospek, menghasilkan Kos Per Prospek gabungan sebanyak RM3.54. Setiap prospek merupakan individu yang secara sukarela memberikan nama, nombor telefon, kursus diminati dan negeri asal melalui borang Lead Generation.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mendedahkan perbezaan kecekapan kos yang ketara. TikTok Ads mencatatkan Kos Per Prospek sebanyak RM2.03 berbanding Meta Ads RM4.28 — iaitu 52.5% lebih rendah. Perbezaan ini menjadi lebih bermakna apabila dilihat dari sudut agihan sumber: TikTok Ads hanya menerima 18.8% daripada jumlah belanjawan iklan tetapi menyumbang 32.7% daripada keseluruhan prospek yang dijana. Dengan kata lain, setiap ringgit yang dibelanjakan di TikTok Ads menghasilkan lebih dua kali ganda bilangan prospek berbanding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Penjelasan Sumber Data dan Perbezaan Angka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sumber data digunakan dalam analisis kos ini, dan setiap satu mengukur perkara yang berbeza. Perbezaan antara angka-angka tersebut bukan percanggahan, sebaliknya mencerminkan sifat setiap sumber: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80"/>
        <w:gridCol w:w="388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Sumber Data</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Angka Direkodkan</w:t>
            </w:r>
          </w:p>
        </w:tc>
        <w:tc>
          <w:tcPr>
            <w:tcW w:type="dxa" w:w="3880"/>
            <w:shd w:fill="D9D9D9" w:color="D9D9D9" w:val="clear"/>
          </w:tcPr>
          <w:p>
            <w:pPr>
              <w:spacing w:line="276"/>
            </w:pPr>
            <w:r>
              <w:rPr>
                <w:rFonts w:ascii="Times New Roman" w:cs="Times New Roman" w:eastAsia="Times New Roman" w:hAnsi="Times New Roman"/>
                <w:b/>
                <w:bCs/>
                <w:sz w:val="20"/>
                <w:szCs w:val="20"/>
              </w:rPr>
              <w:t xml:space="preserve">Apa yang Diukur</w:t>
            </w:r>
          </w:p>
        </w:tc>
      </w:tr>
      <w:tr>
        <w:tc>
          <w:tcPr>
            <w:tcW w:type="dxa" w:w="2800"/>
          </w:tcPr>
          <w:p>
            <w:pPr>
              <w:spacing w:line="276"/>
            </w:pPr>
            <w:r>
              <w:rPr>
                <w:rFonts w:ascii="Times New Roman" w:cs="Times New Roman" w:eastAsia="Times New Roman" w:hAnsi="Times New Roman"/>
                <w:sz w:val="20"/>
                <w:szCs w:val="20"/>
              </w:rPr>
              <w:t xml:space="preserve">Penyata bil Meta Platforms</w:t>
            </w:r>
          </w:p>
        </w:tc>
        <w:tc>
          <w:tcPr>
            <w:tcW w:type="dxa" w:w="2680"/>
          </w:tcPr>
          <w:p>
            <w:pPr>
              <w:spacing w:line="276"/>
            </w:pPr>
            <w:r>
              <w:rPr>
                <w:rFonts w:ascii="Times New Roman" w:cs="Times New Roman" w:eastAsia="Times New Roman" w:hAnsi="Times New Roman"/>
                <w:sz w:val="20"/>
                <w:szCs w:val="20"/>
              </w:rPr>
              <w:t xml:space="preserve">RM9,987.56</w:t>
            </w:r>
          </w:p>
        </w:tc>
        <w:tc>
          <w:tcPr>
            <w:tcW w:type="dxa" w:w="3880"/>
          </w:tcPr>
          <w:p>
            <w:pPr>
              <w:spacing w:line="276"/>
            </w:pPr>
            <w:r>
              <w:rPr>
                <w:rFonts w:ascii="Times New Roman" w:cs="Times New Roman" w:eastAsia="Times New Roman" w:hAnsi="Times New Roman"/>
                <w:sz w:val="20"/>
                <w:szCs w:val="20"/>
              </w:rPr>
              <w:t xml:space="preserve">Wang sebenar dibayar antara 1 Jan – 1 Jul 2026</w:t>
            </w:r>
          </w:p>
        </w:tc>
      </w:tr>
      <w:tr>
        <w:tc>
          <w:tcPr>
            <w:tcW w:type="dxa" w:w="2800"/>
          </w:tcPr>
          <w:p>
            <w:pPr>
              <w:spacing w:line="276"/>
            </w:pPr>
            <w:r>
              <w:rPr>
                <w:rFonts w:ascii="Times New Roman" w:cs="Times New Roman" w:eastAsia="Times New Roman" w:hAnsi="Times New Roman"/>
                <w:sz w:val="20"/>
                <w:szCs w:val="20"/>
              </w:rPr>
              <w:t xml:space="preserve">Meta Ads Manager</w:t>
            </w:r>
          </w:p>
        </w:tc>
        <w:tc>
          <w:tcPr>
            <w:tcW w:type="dxa" w:w="2680"/>
          </w:tcPr>
          <w:p>
            <w:pPr>
              <w:spacing w:line="276"/>
            </w:pPr>
            <w:r>
              <w:rPr>
                <w:rFonts w:ascii="Times New Roman" w:cs="Times New Roman" w:eastAsia="Times New Roman" w:hAnsi="Times New Roman"/>
                <w:sz w:val="20"/>
                <w:szCs w:val="20"/>
              </w:rPr>
              <w:t xml:space="preserve">RM8,936.21 / 1,848 prospek</w:t>
            </w:r>
          </w:p>
        </w:tc>
        <w:tc>
          <w:tcPr>
            <w:tcW w:type="dxa" w:w="3880"/>
          </w:tcPr>
          <w:p>
            <w:pPr>
              <w:spacing w:line="276"/>
            </w:pPr>
            <w:r>
              <w:rPr>
                <w:rFonts w:ascii="Times New Roman" w:cs="Times New Roman" w:eastAsia="Times New Roman" w:hAnsi="Times New Roman"/>
                <w:sz w:val="20"/>
                <w:szCs w:val="20"/>
              </w:rPr>
              <w:t xml:space="preserve">Kos penyampaian iklan dan prospek dijana dalam tempoh 1 Jan – 30 Jun 2026</w:t>
            </w:r>
          </w:p>
        </w:tc>
      </w:tr>
      <w:tr>
        <w:tc>
          <w:tcPr>
            <w:tcW w:type="dxa" w:w="2800"/>
          </w:tcPr>
          <w:p>
            <w:pPr>
              <w:spacing w:line="276"/>
            </w:pPr>
            <w:r>
              <w:rPr>
                <w:rFonts w:ascii="Times New Roman" w:cs="Times New Roman" w:eastAsia="Times New Roman" w:hAnsi="Times New Roman"/>
                <w:sz w:val="20"/>
                <w:szCs w:val="20"/>
              </w:rPr>
              <w:t xml:space="preserve">Sistem CRM TVET Lipis</w:t>
            </w:r>
          </w:p>
        </w:tc>
        <w:tc>
          <w:tcPr>
            <w:tcW w:type="dxa" w:w="2680"/>
          </w:tcPr>
          <w:p>
            <w:pPr>
              <w:spacing w:line="276"/>
            </w:pPr>
            <w:r>
              <w:rPr>
                <w:rFonts w:ascii="Times New Roman" w:cs="Times New Roman" w:eastAsia="Times New Roman" w:hAnsi="Times New Roman"/>
                <w:sz w:val="20"/>
                <w:szCs w:val="20"/>
              </w:rPr>
              <w:t xml:space="preserve">2,336 prospek bersumber Meta</w:t>
            </w:r>
          </w:p>
        </w:tc>
        <w:tc>
          <w:tcPr>
            <w:tcW w:type="dxa" w:w="3880"/>
          </w:tcPr>
          <w:p>
            <w:pPr>
              <w:spacing w:line="276"/>
            </w:pPr>
            <w:r>
              <w:rPr>
                <w:rFonts w:ascii="Times New Roman" w:cs="Times New Roman" w:eastAsia="Times New Roman" w:hAnsi="Times New Roman"/>
                <w:sz w:val="20"/>
                <w:szCs w:val="20"/>
              </w:rPr>
              <w:t xml:space="preserve">Rekod prospek yang diterima dan disimpan oleh institusi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penyata bil (RM9,987.56) dan Meta Ads Manager (RM8,936.21) berpunca daripada kaedah pengebilan Meta yang mengenakan caj secara tertunggak. Bayaran pertama pada 3 Januari 2026 sebanyak RM807.09 sebenarnya menyelesaikan kos penyampaian iklan pada Disember 2025 — iaitu wang yang dibayar dalam tempoh kajian tetapi bagi iklan yang disampaikan sebelum tempoh tersebut bermula.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bilangan prospek dalam Ads Manager (1,848) dan CRM (2,336) pula berpunca daripada tiga faktor: pertama, terdapat 130 hasil berbentuk perbualan mesej (messaging conversations) yang direkodkan berasingan daripada prospek borang tetapi turut masuk ke dalam CRM; kedua, medan sumber dalam CRM merangkumi semua prospek berasal daripada platform Meta termasuk yang menghubungi secara organik tanpa melalui iklan; dan ketiga, terdapat kemungkinan rekod berulang apabila individu yang sama mengisi borang lebih daripada sekali.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Bagi tujuan analisis dalam LPKT ini, data Meta Ads Manager digunakan untuk penilaian kecekapan kempen kerana perbelanjaan dan prospek diukur oleh sistem yang sama dalam tempoh yang sama. Data CRM pula digunakan untuk analisis profil prospek mengikut kursus, umur dan lokasi kerana ia merupakan rekod sebenar maklumat yang diterima institusi. Kesedaran terhadap perbezaan sumber ini penting bagi memastikan setiap angka ditafsirkan mengikut konteks yang betul.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ini mengesahkan bahawa keputusan melancarkan TikTok Ads pada Mac 2026 — yang pada asalnya diambil sebagai tindak balas kepada penurunan prestasi Meta Ads pada Februari — adalah tepat dari dua sudut serentak: bukan sahaja TikTok Ads menjana jumlah prospek yang semakin meningkat setiap bulan, malah ia melakukannya pada kos per prospek yang jauh lebih rendah. Keputusan berasaskan data ini merupakan contoh konkrit amalan pengoptimuman kempen yang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3.16: Perbelanjaan Meta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Januari 2026</w:t>
            </w:r>
          </w:p>
        </w:tc>
        <w:tc>
          <w:tcPr>
            <w:tcW w:type="dxa" w:w="1900"/>
          </w:tcPr>
          <w:p>
            <w:pPr>
              <w:spacing w:line="276"/>
            </w:pPr>
            <w:r>
              <w:rPr>
                <w:rFonts w:ascii="Times New Roman" w:cs="Times New Roman" w:eastAsia="Times New Roman" w:hAnsi="Times New Roman"/>
                <w:sz w:val="20"/>
                <w:szCs w:val="20"/>
              </w:rPr>
              <w:t xml:space="preserve">1,767.02</w:t>
            </w:r>
          </w:p>
        </w:tc>
        <w:tc>
          <w:tcPr>
            <w:tcW w:type="dxa" w:w="1300"/>
          </w:tcPr>
          <w:p>
            <w:pPr>
              <w:spacing w:line="276"/>
            </w:pPr>
            <w:r>
              <w:rPr>
                <w:rFonts w:ascii="Times New Roman" w:cs="Times New Roman" w:eastAsia="Times New Roman" w:hAnsi="Times New Roman"/>
                <w:sz w:val="20"/>
                <w:szCs w:val="20"/>
              </w:rPr>
              <w:t xml:space="preserve">345</w:t>
            </w:r>
          </w:p>
        </w:tc>
        <w:tc>
          <w:tcPr>
            <w:tcW w:type="dxa" w:w="1300"/>
          </w:tcPr>
          <w:p>
            <w:pPr>
              <w:spacing w:line="276"/>
            </w:pPr>
            <w:r>
              <w:rPr>
                <w:rFonts w:ascii="Times New Roman" w:cs="Times New Roman" w:eastAsia="Times New Roman" w:hAnsi="Times New Roman"/>
                <w:sz w:val="20"/>
                <w:szCs w:val="20"/>
              </w:rPr>
              <w:t xml:space="preserve">5.12</w:t>
            </w:r>
          </w:p>
        </w:tc>
        <w:tc>
          <w:tcPr>
            <w:tcW w:type="dxa" w:w="3260"/>
          </w:tcPr>
          <w:p>
            <w:pPr>
              <w:spacing w:line="276"/>
            </w:pPr>
            <w:r>
              <w:rPr>
                <w:rFonts w:ascii="Times New Roman" w:cs="Times New Roman" w:eastAsia="Times New Roman" w:hAnsi="Times New Roman"/>
                <w:sz w:val="20"/>
                <w:szCs w:val="20"/>
              </w:rPr>
              <w:t xml:space="preserve">Kempen dilancarkan</w:t>
            </w:r>
          </w:p>
        </w:tc>
      </w:tr>
      <w:tr>
        <w:tc>
          <w:tcPr>
            <w:tcW w:type="dxa" w:w="1600"/>
          </w:tcPr>
          <w:p>
            <w:pPr>
              <w:spacing w:line="276"/>
            </w:pPr>
            <w:r>
              <w:rPr>
                <w:rFonts w:ascii="Times New Roman" w:cs="Times New Roman" w:eastAsia="Times New Roman" w:hAnsi="Times New Roman"/>
                <w:sz w:val="20"/>
                <w:szCs w:val="20"/>
              </w:rPr>
              <w:t xml:space="preserve">Februari 2026</w:t>
            </w:r>
          </w:p>
        </w:tc>
        <w:tc>
          <w:tcPr>
            <w:tcW w:type="dxa" w:w="1900"/>
          </w:tcPr>
          <w:p>
            <w:pPr>
              <w:spacing w:line="276"/>
            </w:pPr>
            <w:r>
              <w:rPr>
                <w:rFonts w:ascii="Times New Roman" w:cs="Times New Roman" w:eastAsia="Times New Roman" w:hAnsi="Times New Roman"/>
                <w:sz w:val="20"/>
                <w:szCs w:val="20"/>
              </w:rPr>
              <w:t xml:space="preserve">1,283.14</w:t>
            </w:r>
          </w:p>
        </w:tc>
        <w:tc>
          <w:tcPr>
            <w:tcW w:type="dxa" w:w="1300"/>
          </w:tcPr>
          <w:p>
            <w:pPr>
              <w:spacing w:line="276"/>
            </w:pPr>
            <w:r>
              <w:rPr>
                <w:rFonts w:ascii="Times New Roman" w:cs="Times New Roman" w:eastAsia="Times New Roman" w:hAnsi="Times New Roman"/>
                <w:sz w:val="20"/>
                <w:szCs w:val="20"/>
              </w:rPr>
              <w:t xml:space="preserve">133</w:t>
            </w:r>
          </w:p>
        </w:tc>
        <w:tc>
          <w:tcPr>
            <w:tcW w:type="dxa" w:w="1300"/>
          </w:tcPr>
          <w:p>
            <w:pPr>
              <w:spacing w:line="276"/>
            </w:pPr>
            <w:r>
              <w:rPr>
                <w:rFonts w:ascii="Times New Roman" w:cs="Times New Roman" w:eastAsia="Times New Roman" w:hAnsi="Times New Roman"/>
                <w:sz w:val="20"/>
                <w:szCs w:val="20"/>
              </w:rPr>
              <w:t xml:space="preserve">9.65</w:t>
            </w:r>
          </w:p>
        </w:tc>
        <w:tc>
          <w:tcPr>
            <w:tcW w:type="dxa" w:w="3260"/>
          </w:tcPr>
          <w:p>
            <w:pPr>
              <w:spacing w:line="276"/>
            </w:pPr>
            <w:r>
              <w:rPr>
                <w:rFonts w:ascii="Times New Roman" w:cs="Times New Roman" w:eastAsia="Times New Roman" w:hAnsi="Times New Roman"/>
                <w:sz w:val="20"/>
                <w:szCs w:val="20"/>
              </w:rPr>
              <w:t xml:space="preserve">CPL tertinggi — mencetuskan tindakan pembetulan</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3,733.04</w:t>
            </w:r>
          </w:p>
        </w:tc>
        <w:tc>
          <w:tcPr>
            <w:tcW w:type="dxa" w:w="1300"/>
          </w:tcPr>
          <w:p>
            <w:pPr>
              <w:spacing w:line="276"/>
            </w:pPr>
            <w:r>
              <w:rPr>
                <w:rFonts w:ascii="Times New Roman" w:cs="Times New Roman" w:eastAsia="Times New Roman" w:hAnsi="Times New Roman"/>
                <w:sz w:val="20"/>
                <w:szCs w:val="20"/>
              </w:rPr>
              <w:t xml:space="preserve">778</w:t>
            </w:r>
          </w:p>
        </w:tc>
        <w:tc>
          <w:tcPr>
            <w:tcW w:type="dxa" w:w="1300"/>
          </w:tcPr>
          <w:p>
            <w:pPr>
              <w:spacing w:line="276"/>
            </w:pPr>
            <w:r>
              <w:rPr>
                <w:rFonts w:ascii="Times New Roman" w:cs="Times New Roman" w:eastAsia="Times New Roman" w:hAnsi="Times New Roman"/>
                <w:sz w:val="20"/>
                <w:szCs w:val="20"/>
              </w:rPr>
              <w:t xml:space="preserve">4.80</w:t>
            </w:r>
          </w:p>
        </w:tc>
        <w:tc>
          <w:tcPr>
            <w:tcW w:type="dxa" w:w="3260"/>
          </w:tcPr>
          <w:p>
            <w:pPr>
              <w:spacing w:line="276"/>
            </w:pPr>
            <w:r>
              <w:rPr>
                <w:rFonts w:ascii="Times New Roman" w:cs="Times New Roman" w:eastAsia="Times New Roman" w:hAnsi="Times New Roman"/>
                <w:sz w:val="20"/>
                <w:szCs w:val="20"/>
              </w:rPr>
              <w:t xml:space="preserve">Kreatif diperbaharui; TikTok Ads dilancarkan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2,651.77</w:t>
            </w:r>
          </w:p>
        </w:tc>
        <w:tc>
          <w:tcPr>
            <w:tcW w:type="dxa" w:w="1300"/>
          </w:tcPr>
          <w:p>
            <w:pPr>
              <w:spacing w:line="276"/>
            </w:pPr>
            <w:r>
              <w:rPr>
                <w:rFonts w:ascii="Times New Roman" w:cs="Times New Roman" w:eastAsia="Times New Roman" w:hAnsi="Times New Roman"/>
                <w:sz w:val="20"/>
                <w:szCs w:val="20"/>
              </w:rPr>
              <w:t xml:space="preserve">798</w:t>
            </w:r>
          </w:p>
        </w:tc>
        <w:tc>
          <w:tcPr>
            <w:tcW w:type="dxa" w:w="1300"/>
          </w:tcPr>
          <w:p>
            <w:pPr>
              <w:spacing w:line="276"/>
            </w:pPr>
            <w:r>
              <w:rPr>
                <w:rFonts w:ascii="Times New Roman" w:cs="Times New Roman" w:eastAsia="Times New Roman" w:hAnsi="Times New Roman"/>
                <w:sz w:val="20"/>
                <w:szCs w:val="20"/>
              </w:rPr>
              <w:t xml:space="preserve">3.32</w:t>
            </w:r>
          </w:p>
        </w:tc>
        <w:tc>
          <w:tcPr>
            <w:tcW w:type="dxa" w:w="3260"/>
          </w:tcPr>
          <w:p>
            <w:pPr>
              <w:spacing w:line="276"/>
            </w:pPr>
            <w:r>
              <w:rPr>
                <w:rFonts w:ascii="Times New Roman" w:cs="Times New Roman" w:eastAsia="Times New Roman" w:hAnsi="Times New Roman"/>
                <w:sz w:val="20"/>
                <w:szCs w:val="20"/>
              </w:rPr>
              <w:t xml:space="preserve">CPL paling cekap sepanjang kempen</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0.00</w:t>
            </w:r>
          </w:p>
        </w:tc>
        <w:tc>
          <w:tcPr>
            <w:tcW w:type="dxa" w:w="1300"/>
          </w:tcPr>
          <w:p>
            <w:pPr>
              <w:spacing w:line="276"/>
            </w:pPr>
            <w:r>
              <w:rPr>
                <w:rFonts w:ascii="Times New Roman" w:cs="Times New Roman" w:eastAsia="Times New Roman" w:hAnsi="Times New Roman"/>
                <w:sz w:val="20"/>
                <w:szCs w:val="20"/>
              </w:rPr>
              <w:t xml:space="preserve">226</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Tiada bil baharu direkodkan dalam tempoh</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552.59</w:t>
            </w:r>
          </w:p>
        </w:tc>
        <w:tc>
          <w:tcPr>
            <w:tcW w:type="dxa" w:w="1300"/>
          </w:tcPr>
          <w:p>
            <w:pPr>
              <w:spacing w:line="276"/>
            </w:pPr>
            <w:r>
              <w:rPr>
                <w:rFonts w:ascii="Times New Roman" w:cs="Times New Roman" w:eastAsia="Times New Roman" w:hAnsi="Times New Roman"/>
                <w:sz w:val="20"/>
                <w:szCs w:val="20"/>
              </w:rPr>
              <w:t xml:space="preserve">56</w:t>
            </w:r>
          </w:p>
        </w:tc>
        <w:tc>
          <w:tcPr>
            <w:tcW w:type="dxa" w:w="1300"/>
          </w:tcPr>
          <w:p>
            <w:pPr>
              <w:spacing w:line="276"/>
            </w:pPr>
            <w:r>
              <w:rPr>
                <w:rFonts w:ascii="Times New Roman" w:cs="Times New Roman" w:eastAsia="Times New Roman" w:hAnsi="Times New Roman"/>
                <w:sz w:val="20"/>
                <w:szCs w:val="20"/>
              </w:rPr>
              <w:t xml:space="preserve">9.87</w:t>
            </w:r>
          </w:p>
        </w:tc>
        <w:tc>
          <w:tcPr>
            <w:tcW w:type="dxa" w:w="3260"/>
          </w:tcPr>
          <w:p>
            <w:pPr>
              <w:spacing w:line="276"/>
            </w:pPr>
            <w:r>
              <w:rPr>
                <w:rFonts w:ascii="Times New Roman" w:cs="Times New Roman" w:eastAsia="Times New Roman" w:hAnsi="Times New Roman"/>
                <w:sz w:val="20"/>
                <w:szCs w:val="20"/>
              </w:rPr>
              <w:t xml:space="preserve">Belanjawan dikurangkan; tumpuan beralih ke TikTok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9,987.56</w:t>
            </w:r>
          </w:p>
        </w:tc>
        <w:tc>
          <w:tcPr>
            <w:tcW w:type="dxa" w:w="1300"/>
          </w:tcPr>
          <w:p>
            <w:pPr>
              <w:spacing w:line="276"/>
            </w:pPr>
            <w:r>
              <w:rPr>
                <w:rFonts w:ascii="Times New Roman" w:cs="Times New Roman" w:eastAsia="Times New Roman" w:hAnsi="Times New Roman"/>
                <w:sz w:val="20"/>
                <w:szCs w:val="20"/>
              </w:rPr>
              <w:t xml:space="preserve">2,336</w:t>
            </w:r>
          </w:p>
        </w:tc>
        <w:tc>
          <w:tcPr>
            <w:tcW w:type="dxa" w:w="1300"/>
          </w:tcPr>
          <w:p>
            <w:pPr>
              <w:spacing w:line="276"/>
            </w:pPr>
            <w:r>
              <w:rPr>
                <w:rFonts w:ascii="Times New Roman" w:cs="Times New Roman" w:eastAsia="Times New Roman" w:hAnsi="Times New Roman"/>
                <w:sz w:val="20"/>
                <w:szCs w:val="20"/>
              </w:rPr>
              <w:t xml:space="preserve">4.28</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Pecahan bulanan disusun mengikut tarikh bil Meta. Memandangkan Meta mengenakan caj apabila ambang pembayaran dicapai dan bukan pada tarikh tetap setiap bulan, tarikh bil tidak semestinya sepadan tepat dengan bulan penyampaian iklan. Jumlah keseluruhan RM9,987.56 adalah tepat bagi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bulanan menunjukkan corak pengoptimuman yang jelas. Kos Per Prospek meningkat kepada RM9.65 pada Februari 2026 — hampir dua kali ganda berbanding Januari — yang menandakan kemerosotan kecekapan kempen. Data ini menjadi asas kepada dua tindakan pembetulan yang dilaksanakan pada Mac 2026: pembaharuan kreatif iklan dan pembukaan saluran kedua melalui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Kesan tindakan tersebut dapat dilihat dengan jelas. Kos Per Prospek menurun kepada RM4.80 pada Mac dan seterusnya RM3.32 pada April 2026 — iaitu penambahbaikan sebanyak 65.6% berbanding paras tertinggi Februari, sekali gus menjadikan April bulan paling cekap sepanjang kempen. Ini mengesahkan bahawa pemantauan metrik kos secara berkala dan tindakan pembetulan berasaskan data mampu meningkatkan kecekapan perbelanjaan iklan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Peningkatan semula Kos Per Prospek kepada RM9.87 pada Jun 2026 berlaku seiring dengan pengurangan belanjawan Meta Ads apabila tumpuan dialihkan kepada TikTok Ads. Pada bulan tersebut, TikTok Ads menjana 254 prospek berbanding Meta Ads 56 prospek, menunjukkan peralihan keberkesanan saluran menjelang penghujung tempoh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pada peringkat set iklan mendedahkan julat kecekapan kos yang luas dalam kempen Meta Ads. Jadual 3.17 menyusun kesemua set iklan berorientasikan borang prospek mengikut Kos Per Prospek, daripada yang paling cekap kepada yang paling mahal.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3.17: Kecekapan Set Iklan Meta Ads Mengikut Kos Per Prospek (Sumber: Meta Ads Manager)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300"/>
        <w:gridCol w:w="1300"/>
        <w:gridCol w:w="3060"/>
      </w:tblGrid>
      <w:tr>
        <w:tc>
          <w:tcPr>
            <w:tcW w:type="dxa" w:w="1800"/>
            <w:shd w:fill="D9D9D9" w:color="D9D9D9" w:val="clear"/>
          </w:tcPr>
          <w:p>
            <w:pPr>
              <w:spacing w:line="276"/>
            </w:pPr>
            <w:r>
              <w:rPr>
                <w:rFonts w:ascii="Times New Roman" w:cs="Times New Roman" w:eastAsia="Times New Roman" w:hAnsi="Times New Roman"/>
                <w:b/>
                <w:bCs/>
                <w:sz w:val="20"/>
                <w:szCs w:val="20"/>
              </w:rPr>
              <w:t xml:space="preserve">Set Iklan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060"/>
            <w:shd w:fill="D9D9D9" w:color="D9D9D9" w:val="clear"/>
          </w:tcPr>
          <w:p>
            <w:pPr>
              <w:spacing w:line="276"/>
            </w:pPr>
            <w:r>
              <w:rPr>
                <w:rFonts w:ascii="Times New Roman" w:cs="Times New Roman" w:eastAsia="Times New Roman" w:hAnsi="Times New Roman"/>
                <w:b/>
                <w:bCs/>
                <w:sz w:val="20"/>
                <w:szCs w:val="20"/>
              </w:rPr>
              <w:t xml:space="preserve">Kategori Kecekapan</w:t>
            </w:r>
          </w:p>
        </w:tc>
      </w:tr>
      <w:tr>
        <w:tc>
          <w:tcPr>
            <w:tcW w:type="dxa" w:w="1800"/>
          </w:tcPr>
          <w:p>
            <w:pPr>
              <w:spacing w:line="276"/>
            </w:pPr>
            <w:r>
              <w:rPr>
                <w:rFonts w:ascii="Times New Roman" w:cs="Times New Roman" w:eastAsia="Times New Roman" w:hAnsi="Times New Roman"/>
                <w:sz w:val="20"/>
                <w:szCs w:val="20"/>
              </w:rPr>
              <w:t xml:space="preserve">Set Iklan A</w:t>
            </w:r>
          </w:p>
        </w:tc>
        <w:tc>
          <w:tcPr>
            <w:tcW w:type="dxa" w:w="1900"/>
          </w:tcPr>
          <w:p>
            <w:pPr>
              <w:spacing w:line="276"/>
            </w:pPr>
            <w:r>
              <w:rPr>
                <w:rFonts w:ascii="Times New Roman" w:cs="Times New Roman" w:eastAsia="Times New Roman" w:hAnsi="Times New Roman"/>
                <w:sz w:val="20"/>
                <w:szCs w:val="20"/>
              </w:rPr>
              <w:t xml:space="preserve">421.45</w:t>
            </w:r>
          </w:p>
        </w:tc>
        <w:tc>
          <w:tcPr>
            <w:tcW w:type="dxa" w:w="1300"/>
          </w:tcPr>
          <w:p>
            <w:pPr>
              <w:spacing w:line="276"/>
            </w:pPr>
            <w:r>
              <w:rPr>
                <w:rFonts w:ascii="Times New Roman" w:cs="Times New Roman" w:eastAsia="Times New Roman" w:hAnsi="Times New Roman"/>
                <w:sz w:val="20"/>
                <w:szCs w:val="20"/>
              </w:rPr>
              <w:t xml:space="preserve">143</w:t>
            </w:r>
          </w:p>
        </w:tc>
        <w:tc>
          <w:tcPr>
            <w:tcW w:type="dxa" w:w="1300"/>
          </w:tcPr>
          <w:p>
            <w:pPr>
              <w:spacing w:line="276"/>
            </w:pPr>
            <w:r>
              <w:rPr>
                <w:rFonts w:ascii="Times New Roman" w:cs="Times New Roman" w:eastAsia="Times New Roman" w:hAnsi="Times New Roman"/>
                <w:sz w:val="20"/>
                <w:szCs w:val="20"/>
              </w:rPr>
              <w:t xml:space="preserve">2.95</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B</w:t>
            </w:r>
          </w:p>
        </w:tc>
        <w:tc>
          <w:tcPr>
            <w:tcW w:type="dxa" w:w="1900"/>
          </w:tcPr>
          <w:p>
            <w:pPr>
              <w:spacing w:line="276"/>
            </w:pPr>
            <w:r>
              <w:rPr>
                <w:rFonts w:ascii="Times New Roman" w:cs="Times New Roman" w:eastAsia="Times New Roman" w:hAnsi="Times New Roman"/>
                <w:sz w:val="20"/>
                <w:szCs w:val="20"/>
              </w:rPr>
              <w:t xml:space="preserve">142.32</w:t>
            </w:r>
          </w:p>
        </w:tc>
        <w:tc>
          <w:tcPr>
            <w:tcW w:type="dxa" w:w="1300"/>
          </w:tcPr>
          <w:p>
            <w:pPr>
              <w:spacing w:line="276"/>
            </w:pPr>
            <w:r>
              <w:rPr>
                <w:rFonts w:ascii="Times New Roman" w:cs="Times New Roman" w:eastAsia="Times New Roman" w:hAnsi="Times New Roman"/>
                <w:sz w:val="20"/>
                <w:szCs w:val="20"/>
              </w:rPr>
              <w:t xml:space="preserve">45</w:t>
            </w:r>
          </w:p>
        </w:tc>
        <w:tc>
          <w:tcPr>
            <w:tcW w:type="dxa" w:w="1300"/>
          </w:tcPr>
          <w:p>
            <w:pPr>
              <w:spacing w:line="276"/>
            </w:pPr>
            <w:r>
              <w:rPr>
                <w:rFonts w:ascii="Times New Roman" w:cs="Times New Roman" w:eastAsia="Times New Roman" w:hAnsi="Times New Roman"/>
                <w:sz w:val="20"/>
                <w:szCs w:val="20"/>
              </w:rPr>
              <w:t xml:space="preserve">3.16</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C</w:t>
            </w:r>
          </w:p>
        </w:tc>
        <w:tc>
          <w:tcPr>
            <w:tcW w:type="dxa" w:w="1900"/>
          </w:tcPr>
          <w:p>
            <w:pPr>
              <w:spacing w:line="276"/>
            </w:pPr>
            <w:r>
              <w:rPr>
                <w:rFonts w:ascii="Times New Roman" w:cs="Times New Roman" w:eastAsia="Times New Roman" w:hAnsi="Times New Roman"/>
                <w:sz w:val="20"/>
                <w:szCs w:val="20"/>
              </w:rPr>
              <w:t xml:space="preserve">1,411.77</w:t>
            </w:r>
          </w:p>
        </w:tc>
        <w:tc>
          <w:tcPr>
            <w:tcW w:type="dxa" w:w="1300"/>
          </w:tcPr>
          <w:p>
            <w:pPr>
              <w:spacing w:line="276"/>
            </w:pPr>
            <w:r>
              <w:rPr>
                <w:rFonts w:ascii="Times New Roman" w:cs="Times New Roman" w:eastAsia="Times New Roman" w:hAnsi="Times New Roman"/>
                <w:sz w:val="20"/>
                <w:szCs w:val="20"/>
              </w:rPr>
              <w:t xml:space="preserve">373</w:t>
            </w:r>
          </w:p>
        </w:tc>
        <w:tc>
          <w:tcPr>
            <w:tcW w:type="dxa" w:w="1300"/>
          </w:tcPr>
          <w:p>
            <w:pPr>
              <w:spacing w:line="276"/>
            </w:pPr>
            <w:r>
              <w:rPr>
                <w:rFonts w:ascii="Times New Roman" w:cs="Times New Roman" w:eastAsia="Times New Roman" w:hAnsi="Times New Roman"/>
                <w:sz w:val="20"/>
                <w:szCs w:val="20"/>
              </w:rPr>
              <w:t xml:space="preserve">3.78</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D</w:t>
            </w:r>
          </w:p>
        </w:tc>
        <w:tc>
          <w:tcPr>
            <w:tcW w:type="dxa" w:w="1900"/>
          </w:tcPr>
          <w:p>
            <w:pPr>
              <w:spacing w:line="276"/>
            </w:pPr>
            <w:r>
              <w:rPr>
                <w:rFonts w:ascii="Times New Roman" w:cs="Times New Roman" w:eastAsia="Times New Roman" w:hAnsi="Times New Roman"/>
                <w:sz w:val="20"/>
                <w:szCs w:val="20"/>
              </w:rPr>
              <w:t xml:space="preserve">2,651.70</w:t>
            </w:r>
          </w:p>
        </w:tc>
        <w:tc>
          <w:tcPr>
            <w:tcW w:type="dxa" w:w="1300"/>
          </w:tcPr>
          <w:p>
            <w:pPr>
              <w:spacing w:line="276"/>
            </w:pPr>
            <w:r>
              <w:rPr>
                <w:rFonts w:ascii="Times New Roman" w:cs="Times New Roman" w:eastAsia="Times New Roman" w:hAnsi="Times New Roman"/>
                <w:sz w:val="20"/>
                <w:szCs w:val="20"/>
              </w:rPr>
              <w:t xml:space="preserve">616</w:t>
            </w:r>
          </w:p>
        </w:tc>
        <w:tc>
          <w:tcPr>
            <w:tcW w:type="dxa" w:w="1300"/>
          </w:tcPr>
          <w:p>
            <w:pPr>
              <w:spacing w:line="276"/>
            </w:pPr>
            <w:r>
              <w:rPr>
                <w:rFonts w:ascii="Times New Roman" w:cs="Times New Roman" w:eastAsia="Times New Roman" w:hAnsi="Times New Roman"/>
                <w:sz w:val="20"/>
                <w:szCs w:val="20"/>
              </w:rPr>
              <w:t xml:space="preserve">4.30</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E</w:t>
            </w:r>
          </w:p>
        </w:tc>
        <w:tc>
          <w:tcPr>
            <w:tcW w:type="dxa" w:w="1900"/>
          </w:tcPr>
          <w:p>
            <w:pPr>
              <w:spacing w:line="276"/>
            </w:pPr>
            <w:r>
              <w:rPr>
                <w:rFonts w:ascii="Times New Roman" w:cs="Times New Roman" w:eastAsia="Times New Roman" w:hAnsi="Times New Roman"/>
                <w:sz w:val="20"/>
                <w:szCs w:val="20"/>
              </w:rPr>
              <w:t xml:space="preserve">310.72</w:t>
            </w:r>
          </w:p>
        </w:tc>
        <w:tc>
          <w:tcPr>
            <w:tcW w:type="dxa" w:w="1300"/>
          </w:tcPr>
          <w:p>
            <w:pPr>
              <w:spacing w:line="276"/>
            </w:pPr>
            <w:r>
              <w:rPr>
                <w:rFonts w:ascii="Times New Roman" w:cs="Times New Roman" w:eastAsia="Times New Roman" w:hAnsi="Times New Roman"/>
                <w:sz w:val="20"/>
                <w:szCs w:val="20"/>
              </w:rPr>
              <w:t xml:space="preserve">66</w:t>
            </w:r>
          </w:p>
        </w:tc>
        <w:tc>
          <w:tcPr>
            <w:tcW w:type="dxa" w:w="1300"/>
          </w:tcPr>
          <w:p>
            <w:pPr>
              <w:spacing w:line="276"/>
            </w:pPr>
            <w:r>
              <w:rPr>
                <w:rFonts w:ascii="Times New Roman" w:cs="Times New Roman" w:eastAsia="Times New Roman" w:hAnsi="Times New Roman"/>
                <w:sz w:val="20"/>
                <w:szCs w:val="20"/>
              </w:rPr>
              <w:t xml:space="preserve">4.71</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F</w:t>
            </w:r>
          </w:p>
        </w:tc>
        <w:tc>
          <w:tcPr>
            <w:tcW w:type="dxa" w:w="1900"/>
          </w:tcPr>
          <w:p>
            <w:pPr>
              <w:spacing w:line="276"/>
            </w:pPr>
            <w:r>
              <w:rPr>
                <w:rFonts w:ascii="Times New Roman" w:cs="Times New Roman" w:eastAsia="Times New Roman" w:hAnsi="Times New Roman"/>
                <w:sz w:val="20"/>
                <w:szCs w:val="20"/>
              </w:rPr>
              <w:t xml:space="preserve">1,172.06</w:t>
            </w:r>
          </w:p>
        </w:tc>
        <w:tc>
          <w:tcPr>
            <w:tcW w:type="dxa" w:w="1300"/>
          </w:tcPr>
          <w:p>
            <w:pPr>
              <w:spacing w:line="276"/>
            </w:pPr>
            <w:r>
              <w:rPr>
                <w:rFonts w:ascii="Times New Roman" w:cs="Times New Roman" w:eastAsia="Times New Roman" w:hAnsi="Times New Roman"/>
                <w:sz w:val="20"/>
                <w:szCs w:val="20"/>
              </w:rPr>
              <w:t xml:space="preserve">228</w:t>
            </w:r>
          </w:p>
        </w:tc>
        <w:tc>
          <w:tcPr>
            <w:tcW w:type="dxa" w:w="1300"/>
          </w:tcPr>
          <w:p>
            <w:pPr>
              <w:spacing w:line="276"/>
            </w:pPr>
            <w:r>
              <w:rPr>
                <w:rFonts w:ascii="Times New Roman" w:cs="Times New Roman" w:eastAsia="Times New Roman" w:hAnsi="Times New Roman"/>
                <w:sz w:val="20"/>
                <w:szCs w:val="20"/>
              </w:rPr>
              <w:t xml:space="preserve">5.14</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G</w:t>
            </w:r>
          </w:p>
        </w:tc>
        <w:tc>
          <w:tcPr>
            <w:tcW w:type="dxa" w:w="1900"/>
          </w:tcPr>
          <w:p>
            <w:pPr>
              <w:spacing w:line="276"/>
            </w:pPr>
            <w:r>
              <w:rPr>
                <w:rFonts w:ascii="Times New Roman" w:cs="Times New Roman" w:eastAsia="Times New Roman" w:hAnsi="Times New Roman"/>
                <w:sz w:val="20"/>
                <w:szCs w:val="20"/>
              </w:rPr>
              <w:t xml:space="preserve">183.40</w:t>
            </w:r>
          </w:p>
        </w:tc>
        <w:tc>
          <w:tcPr>
            <w:tcW w:type="dxa" w:w="1300"/>
          </w:tcPr>
          <w:p>
            <w:pPr>
              <w:spacing w:line="276"/>
            </w:pPr>
            <w:r>
              <w:rPr>
                <w:rFonts w:ascii="Times New Roman" w:cs="Times New Roman" w:eastAsia="Times New Roman" w:hAnsi="Times New Roman"/>
                <w:sz w:val="20"/>
                <w:szCs w:val="20"/>
              </w:rPr>
              <w:t xml:space="preserve">29</w:t>
            </w:r>
          </w:p>
        </w:tc>
        <w:tc>
          <w:tcPr>
            <w:tcW w:type="dxa" w:w="1300"/>
          </w:tcPr>
          <w:p>
            <w:pPr>
              <w:spacing w:line="276"/>
            </w:pPr>
            <w:r>
              <w:rPr>
                <w:rFonts w:ascii="Times New Roman" w:cs="Times New Roman" w:eastAsia="Times New Roman" w:hAnsi="Times New Roman"/>
                <w:sz w:val="20"/>
                <w:szCs w:val="20"/>
              </w:rPr>
              <w:t xml:space="preserve">6.32</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H</w:t>
            </w:r>
          </w:p>
        </w:tc>
        <w:tc>
          <w:tcPr>
            <w:tcW w:type="dxa" w:w="1900"/>
          </w:tcPr>
          <w:p>
            <w:pPr>
              <w:spacing w:line="276"/>
            </w:pPr>
            <w:r>
              <w:rPr>
                <w:rFonts w:ascii="Times New Roman" w:cs="Times New Roman" w:eastAsia="Times New Roman" w:hAnsi="Times New Roman"/>
                <w:sz w:val="20"/>
                <w:szCs w:val="20"/>
              </w:rPr>
              <w:t xml:space="preserve">2,104.77</w:t>
            </w:r>
          </w:p>
        </w:tc>
        <w:tc>
          <w:tcPr>
            <w:tcW w:type="dxa" w:w="1300"/>
          </w:tcPr>
          <w:p>
            <w:pPr>
              <w:spacing w:line="276"/>
            </w:pPr>
            <w:r>
              <w:rPr>
                <w:rFonts w:ascii="Times New Roman" w:cs="Times New Roman" w:eastAsia="Times New Roman" w:hAnsi="Times New Roman"/>
                <w:sz w:val="20"/>
                <w:szCs w:val="20"/>
              </w:rPr>
              <w:t xml:space="preserve">303</w:t>
            </w:r>
          </w:p>
        </w:tc>
        <w:tc>
          <w:tcPr>
            <w:tcW w:type="dxa" w:w="1300"/>
          </w:tcPr>
          <w:p>
            <w:pPr>
              <w:spacing w:line="276"/>
            </w:pPr>
            <w:r>
              <w:rPr>
                <w:rFonts w:ascii="Times New Roman" w:cs="Times New Roman" w:eastAsia="Times New Roman" w:hAnsi="Times New Roman"/>
                <w:sz w:val="20"/>
                <w:szCs w:val="20"/>
              </w:rPr>
              <w:t xml:space="preserve">6.95</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8,398.19</w:t>
            </w:r>
          </w:p>
        </w:tc>
        <w:tc>
          <w:tcPr>
            <w:tcW w:type="dxa" w:w="1300"/>
          </w:tcPr>
          <w:p>
            <w:pPr>
              <w:spacing w:line="276"/>
            </w:pPr>
            <w:r>
              <w:rPr>
                <w:rFonts w:ascii="Times New Roman" w:cs="Times New Roman" w:eastAsia="Times New Roman" w:hAnsi="Times New Roman"/>
                <w:sz w:val="20"/>
                <w:szCs w:val="20"/>
              </w:rPr>
              <w:t xml:space="preserve">1,803</w:t>
            </w:r>
          </w:p>
        </w:tc>
        <w:tc>
          <w:tcPr>
            <w:tcW w:type="dxa" w:w="1300"/>
          </w:tcPr>
          <w:p>
            <w:pPr>
              <w:spacing w:line="276"/>
            </w:pPr>
            <w:r>
              <w:rPr>
                <w:rFonts w:ascii="Times New Roman" w:cs="Times New Roman" w:eastAsia="Times New Roman" w:hAnsi="Times New Roman"/>
                <w:sz w:val="20"/>
                <w:szCs w:val="20"/>
              </w:rPr>
              <w:t xml:space="preserve">4.66</w:t>
            </w:r>
          </w:p>
        </w:tc>
        <w:tc>
          <w:tcPr>
            <w:tcW w:type="dxa" w:w="3060"/>
          </w:tcPr>
          <w:p>
            <w:pPr>
              <w:spacing w:line="276"/>
            </w:pPr>
            <w:r>
              <w:rPr>
                <w:rFonts w:ascii="Times New Roman" w:cs="Times New Roman" w:eastAsia="Times New Roman" w:hAnsi="Times New Roman"/>
                <w:sz w:val="20"/>
                <w:szCs w:val="20"/>
              </w:rPr>
              <w:t xml:space="preserve">Purata keseluruhan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Jurang antara set iklan paling cekap (RM2.95) dan paling mahal (RM6.95) ialah 2.4 kali ganda. Apabila set iklan dikumpulkan kepada dua kategori mengikut purata keseluruhan, perbezaan hasil menjadi sangat ketara: empat set iklan berkos rendah membelanjakan RM4,627.24 dan menjana 1,177 prospek, manakala empat set iklan berkos tinggi membelanjakan RM3,770.95 tetapi hanya menjana 626 prospek. Dengan perbelanjaan yang hampir sama, kumpulan pertama menghasilkan 88% lebih banyak prospek berbanding kumpulan kedua.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Sekiranya keseluruhan belanjawan RM8,398.19 beroperasi pada kadar set iklan paling cekap (RM2.95), anggaran 2,850 prospek boleh dijana berbanding 1,803 prospek sebenar — iaitu potensi peningkatan sebanyak 58% tanpa sebarang penambahan belanjawan. Pengiraan ini menunjukkan bahawa peluang penambahbaikan terbesar dalam kempen berbayar bukanlah pada penambahan perbelanjaan, tetapi pada pengagihan semula belanjawan sedia ada kepada set iklan berprestasi 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diambil perhatian bahawa kadar penukaran prospek berbanding jangkauan bagi kesemua set iklan berada dalam julat sempit antara 0.23% hingga 0.47%. Ini menunjukkan perbezaan Kos Per Prospek didorong terutamanya oleh kos penyampaian iklan dan bukan oleh perbezaan keberkesanan kreatif dalam menukar penonton kepada prospek.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D-6: Meta Ads Manager → Ad Sets → Tukar tempoh ke 1 Jan – 30 Jun 2026 → Susun mengikut Cost per result → Screenshot menunjukkan Amount spent, Results dan Cost per result bagi setiap set iklan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3.18: Perbelanjaan TikTok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w:t>
            </w:r>
          </w:p>
        </w:tc>
        <w:tc>
          <w:tcPr>
            <w:tcW w:type="dxa" w:w="1300"/>
          </w:tcPr>
          <w:p>
            <w:pPr>
              <w:spacing w:line="276"/>
            </w:pPr>
            <w:r>
              <w:rPr>
                <w:rFonts w:ascii="Times New Roman" w:cs="Times New Roman" w:eastAsia="Times New Roman" w:hAnsi="Times New Roman"/>
                <w:sz w:val="20"/>
                <w:szCs w:val="20"/>
              </w:rPr>
              <w:t xml:space="preserve">5</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Kempen dilancarkan pada penghujung bulan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416.71</w:t>
            </w:r>
          </w:p>
        </w:tc>
        <w:tc>
          <w:tcPr>
            <w:tcW w:type="dxa" w:w="1300"/>
          </w:tcPr>
          <w:p>
            <w:pPr>
              <w:spacing w:line="276"/>
            </w:pPr>
            <w:r>
              <w:rPr>
                <w:rFonts w:ascii="Times New Roman" w:cs="Times New Roman" w:eastAsia="Times New Roman" w:hAnsi="Times New Roman"/>
                <w:sz w:val="20"/>
                <w:szCs w:val="20"/>
              </w:rPr>
              <w:t xml:space="preserve">560</w:t>
            </w:r>
          </w:p>
        </w:tc>
        <w:tc>
          <w:tcPr>
            <w:tcW w:type="dxa" w:w="1300"/>
          </w:tcPr>
          <w:p>
            <w:pPr>
              <w:spacing w:line="276"/>
            </w:pPr>
            <w:r>
              <w:rPr>
                <w:rFonts w:ascii="Times New Roman" w:cs="Times New Roman" w:eastAsia="Times New Roman" w:hAnsi="Times New Roman"/>
                <w:sz w:val="20"/>
                <w:szCs w:val="20"/>
              </w:rPr>
              <w:t xml:space="preserve">0.74</w:t>
            </w:r>
          </w:p>
        </w:tc>
        <w:tc>
          <w:tcPr>
            <w:tcW w:type="dxa" w:w="3260"/>
          </w:tcPr>
          <w:p>
            <w:pPr>
              <w:spacing w:line="276"/>
            </w:pPr>
            <w:r>
              <w:rPr>
                <w:rFonts w:ascii="Times New Roman" w:cs="Times New Roman" w:eastAsia="Times New Roman" w:hAnsi="Times New Roman"/>
                <w:sz w:val="20"/>
                <w:szCs w:val="20"/>
              </w:rPr>
              <w:t xml:space="preserve">Fasa pertumbuhan pesat</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1,063.15</w:t>
            </w:r>
          </w:p>
        </w:tc>
        <w:tc>
          <w:tcPr>
            <w:tcW w:type="dxa" w:w="1300"/>
          </w:tcPr>
          <w:p>
            <w:pPr>
              <w:spacing w:line="276"/>
            </w:pPr>
            <w:r>
              <w:rPr>
                <w:rFonts w:ascii="Times New Roman" w:cs="Times New Roman" w:eastAsia="Times New Roman" w:hAnsi="Times New Roman"/>
                <w:sz w:val="20"/>
                <w:szCs w:val="20"/>
              </w:rPr>
              <w:t xml:space="preserve">315</w:t>
            </w:r>
          </w:p>
        </w:tc>
        <w:tc>
          <w:tcPr>
            <w:tcW w:type="dxa" w:w="1300"/>
          </w:tcPr>
          <w:p>
            <w:pPr>
              <w:spacing w:line="276"/>
            </w:pPr>
            <w:r>
              <w:rPr>
                <w:rFonts w:ascii="Times New Roman" w:cs="Times New Roman" w:eastAsia="Times New Roman" w:hAnsi="Times New Roman"/>
                <w:sz w:val="20"/>
                <w:szCs w:val="20"/>
              </w:rPr>
              <w:t xml:space="preserve">3.37</w:t>
            </w:r>
          </w:p>
        </w:tc>
        <w:tc>
          <w:tcPr>
            <w:tcW w:type="dxa" w:w="3260"/>
          </w:tcPr>
          <w:p>
            <w:pPr>
              <w:spacing w:line="276"/>
            </w:pPr>
            <w:r>
              <w:rPr>
                <w:rFonts w:ascii="Times New Roman" w:cs="Times New Roman" w:eastAsia="Times New Roman" w:hAnsi="Times New Roman"/>
                <w:sz w:val="20"/>
                <w:szCs w:val="20"/>
              </w:rPr>
              <w:t xml:space="preserve">Belanjawan ditingkatkan</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824.97</w:t>
            </w:r>
          </w:p>
        </w:tc>
        <w:tc>
          <w:tcPr>
            <w:tcW w:type="dxa" w:w="1300"/>
          </w:tcPr>
          <w:p>
            <w:pPr>
              <w:spacing w:line="276"/>
            </w:pPr>
            <w:r>
              <w:rPr>
                <w:rFonts w:ascii="Times New Roman" w:cs="Times New Roman" w:eastAsia="Times New Roman" w:hAnsi="Times New Roman"/>
                <w:sz w:val="20"/>
                <w:szCs w:val="20"/>
              </w:rPr>
              <w:t xml:space="preserve">254</w:t>
            </w:r>
          </w:p>
        </w:tc>
        <w:tc>
          <w:tcPr>
            <w:tcW w:type="dxa" w:w="1300"/>
          </w:tcPr>
          <w:p>
            <w:pPr>
              <w:spacing w:line="276"/>
            </w:pPr>
            <w:r>
              <w:rPr>
                <w:rFonts w:ascii="Times New Roman" w:cs="Times New Roman" w:eastAsia="Times New Roman" w:hAnsi="Times New Roman"/>
                <w:sz w:val="20"/>
                <w:szCs w:val="20"/>
              </w:rPr>
              <w:t xml:space="preserve">3.25</w:t>
            </w:r>
          </w:p>
        </w:tc>
        <w:tc>
          <w:tcPr>
            <w:tcW w:type="dxa" w:w="3260"/>
          </w:tcPr>
          <w:p>
            <w:pPr>
              <w:spacing w:line="276"/>
            </w:pPr>
            <w:r>
              <w:rPr>
                <w:rFonts w:ascii="Times New Roman" w:cs="Times New Roman" w:eastAsia="Times New Roman" w:hAnsi="Times New Roman"/>
                <w:sz w:val="20"/>
                <w:szCs w:val="20"/>
              </w:rPr>
              <w:t xml:space="preserve">Melebihi Meta Ads dari segi jumlah prospek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2,304.83</w:t>
            </w:r>
          </w:p>
        </w:tc>
        <w:tc>
          <w:tcPr>
            <w:tcW w:type="dxa" w:w="1300"/>
          </w:tcPr>
          <w:p>
            <w:pPr>
              <w:spacing w:line="276"/>
            </w:pPr>
            <w:r>
              <w:rPr>
                <w:rFonts w:ascii="Times New Roman" w:cs="Times New Roman" w:eastAsia="Times New Roman" w:hAnsi="Times New Roman"/>
                <w:sz w:val="20"/>
                <w:szCs w:val="20"/>
              </w:rPr>
              <w:t xml:space="preserve">1,134</w:t>
            </w:r>
          </w:p>
        </w:tc>
        <w:tc>
          <w:tcPr>
            <w:tcW w:type="dxa" w:w="1300"/>
          </w:tcPr>
          <w:p>
            <w:pPr>
              <w:spacing w:line="276"/>
            </w:pPr>
            <w:r>
              <w:rPr>
                <w:rFonts w:ascii="Times New Roman" w:cs="Times New Roman" w:eastAsia="Times New Roman" w:hAnsi="Times New Roman"/>
                <w:sz w:val="20"/>
                <w:szCs w:val="20"/>
              </w:rPr>
              <w:t xml:space="preserve">2.03</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Bil pertama TikTok Ads direkodkan pada 1 April 2026, meliputi penyampaian iklan pada penghujung Mac 2026. Prospek bulan Mac (5 rekod) tidak mempunyai bil berasingan dan diserapkan dalam pengiraan keseluruhan.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TikTok Ads menunjukkan corak pertumbuhan yang berbeza daripada Meta Ads. Bermula dengan perbelanjaan kecil sebanyak RM416.71 pada April 2026, peruntukan ditingkatkan secara berperingkat kepada RM1,063.15 pada Mei sebaik prestasi awal disahkan. Menjelang Jun 2026, TikTok Ads menjana 254 prospek berbanding Meta Ads yang hanya menjana 56 prospek pada bulan yang sama — iaitu lebih empat kali ganda — walaupun dengan perbelanjaan yang lebih tinggi berbanding Meta pada bulan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Sepanjang tempoh operasi TikTok Ads, Kos Per Prospek kekal berada di bawah paras Meta Ads pada setiap bulan. Ini mengukuhkan asas cadangan pengagihan semula belanjawan yang dikemukakan dalam Bab 4.</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D-4: Meta Ads Manager → Billing → Tukar tempoh ke 1 Jan – 1 Jul 2026 → Screenshot penyata bil menunjukkan Total amount billed MYR9,987.56 ]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D-5: TikTok Ads Manager → Campaign → Tukar tempoh ke Mac–Jun 2026 → Screenshot menunjukkan Total Spend dan bilangan Leads ]</w:t>
      </w:r>
    </w:p>
    <w:p>
      <w:pPr>
        <w:spacing w:after="120" w:before="360" w:line="360" w:lineRule="auto"/>
      </w:pPr>
      <w:r>
        <w:rPr>
          <w:rFonts w:ascii="Times New Roman" w:cs="Times New Roman" w:eastAsia="Times New Roman" w:hAnsi="Times New Roman"/>
          <w:b/>
          <w:bCs/>
          <w:sz w:val="24"/>
          <w:szCs w:val="24"/>
          <w:u w:val="single"/>
        </w:rPr>
        <w:t xml:space="preserve">3.9  Pencapaian Berbanding Objektif</w:t>
      </w:r>
    </w:p>
    <w:p>
      <w:pPr>
        <w:spacing w:after="240" w:before="0" w:line="360" w:lineRule="auto"/>
      </w:pPr>
      <w:r>
        <w:rPr>
          <w:rFonts w:ascii="Times New Roman" w:cs="Times New Roman" w:eastAsia="Times New Roman" w:hAnsi="Times New Roman"/>
          <w:sz w:val="24"/>
          <w:szCs w:val="24"/>
        </w:rPr>
        <w:t xml:space="preserve">Jadual 3.19 menilai sejauh mana setiap objektif kempen yang ditetapkan dalam Bab 1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3.19: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200"/>
        <w:gridCol w:w="17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2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7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Rancang dan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dibangunkan; kandungan organik diterbitkan merentas TikTok, Instagram dan Facebook; kempen Lead Generation aktif di Meta Ads dan TikTok Ads</w:t>
            </w:r>
          </w:p>
        </w:tc>
        <w:tc>
          <w:tcPr>
            <w:tcW w:type="dxa" w:w="3200"/>
          </w:tcPr>
          <w:p>
            <w:pPr>
              <w:spacing w:line="276"/>
            </w:pPr>
            <w:r>
              <w:rPr>
                <w:rFonts w:ascii="Times New Roman" w:cs="Times New Roman" w:eastAsia="Times New Roman" w:hAnsi="Times New Roman"/>
                <w:sz w:val="20"/>
                <w:szCs w:val="20"/>
              </w:rPr>
              <w:t xml:space="preserve">Kalendar Kandungan dibangunkan dan dilaksanakan. Meta Ads Lead Generation aktif Januari–Jun 2026. TikTok Ads dilancarkan Mac 2026. Akaun TikTok mencapai 13,800 pengikut dan 118,500 likes kumulatif; Instagram 165 pengikut dengan 127 siaran.</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2: Analisis prestasi berdasarkan metrik utama</w:t>
            </w:r>
          </w:p>
        </w:tc>
        <w:tc>
          <w:tcPr>
            <w:tcW w:type="dxa" w:w="2200"/>
          </w:tcPr>
          <w:p>
            <w:pPr>
              <w:spacing w:line="276"/>
            </w:pPr>
            <w:r>
              <w:rPr>
                <w:rFonts w:ascii="Times New Roman" w:cs="Times New Roman" w:eastAsia="Times New Roman" w:hAnsi="Times New Roman"/>
                <w:sz w:val="20"/>
                <w:szCs w:val="20"/>
              </w:rPr>
              <w:t xml:space="preserve">Metrik jangkauan, tontonan, penglibatan, trafik carian dan data prospek dikumpul dan dianalisis mengikut sumber, kursus dan lokasi</w:t>
            </w:r>
          </w:p>
        </w:tc>
        <w:tc>
          <w:tcPr>
            <w:tcW w:type="dxa" w:w="3200"/>
          </w:tcPr>
          <w:p>
            <w:pPr>
              <w:spacing w:line="276"/>
            </w:pPr>
            <w:r>
              <w:rPr>
                <w:rFonts w:ascii="Times New Roman" w:cs="Times New Roman" w:eastAsia="Times New Roman" w:hAnsi="Times New Roman"/>
                <w:sz w:val="20"/>
                <w:szCs w:val="20"/>
              </w:rPr>
              <w:t xml:space="preserve">TikTok: 2,927,157 tontonan, 2,622,406 jangkauan audiens, 15,251 paparan profil. Google Search Console: 329 klik organik. CRM: 3,470 prospek dianalisis mengikut sumber, bulan, kursus, umur, jantina dan negeri.</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3: Nilai keberkesanan kempen dan kemukakan cadangan berasaskan data</w:t>
            </w:r>
          </w:p>
        </w:tc>
        <w:tc>
          <w:tcPr>
            <w:tcW w:type="dxa" w:w="2200"/>
          </w:tcPr>
          <w:p>
            <w:pPr>
              <w:spacing w:line="276"/>
            </w:pPr>
            <w:r>
              <w:rPr>
                <w:rFonts w:ascii="Times New Roman" w:cs="Times New Roman" w:eastAsia="Times New Roman" w:hAnsi="Times New Roman"/>
                <w:sz w:val="20"/>
                <w:szCs w:val="20"/>
              </w:rPr>
              <w:t xml:space="preserve">Kos Per Prospek dikira dan dipantau; kecekapan kempen dinilai; cadangan penambahbaikan dikemukakan</w:t>
            </w:r>
          </w:p>
        </w:tc>
        <w:tc>
          <w:tcPr>
            <w:tcW w:type="dxa" w:w="3200"/>
          </w:tcPr>
          <w:p>
            <w:pPr>
              <w:spacing w:line="276"/>
            </w:pPr>
            <w:r>
              <w:rPr>
                <w:rFonts w:ascii="Times New Roman" w:cs="Times New Roman" w:eastAsia="Times New Roman" w:hAnsi="Times New Roman"/>
                <w:sz w:val="20"/>
                <w:szCs w:val="20"/>
              </w:rPr>
              <w:t xml:space="preserve">Perbelanjaan keseluruhan RM12,292.39 menjana 3,470 prospek pada CPL gabungan RM3.54. Meta Ads: RM9,987.56 / 2,336 prospek / CPL RM4.28. TikTok Ads: RM2,304.83 / 1,134 prospek / CPL RM2.03 — 52.5% lebih rendah. Pengoptimuman Meta menurunkan CPL daripada RM9.65 (Feb) kepada RM3.32 (Apr). Lapan cadangan dikemukakan dalam Bab 4.</w:t>
            </w:r>
          </w:p>
        </w:tc>
        <w:tc>
          <w:tcPr>
            <w:tcW w:type="dxa" w:w="1760"/>
          </w:tcPr>
          <w:p>
            <w:pPr>
              <w:spacing w:line="276"/>
            </w:pPr>
            <w:r>
              <w:rPr>
                <w:rFonts w:ascii="Times New Roman" w:cs="Times New Roman" w:eastAsia="Times New Roman" w:hAnsi="Times New Roman"/>
                <w:sz w:val="20"/>
                <w:szCs w:val="20"/>
              </w:rPr>
              <w:t xml:space="preserve">DICAPAI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dinilai sebagai DICAPAI. Kempen berjaya menjana 3,470 prospek dalam tempoh enam bulan dengan kos yang terkawal, di samping menunjukkan keupayaan mengoptimumkan kecekapan perbelanjaan iklan berdasarkan data prestasi — Kos Per Prospek diturunkan sebanyak 65.6% antara Februari dan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bilangan pendaftaran akhir (16 pelajar) tidak digunakan sebagai penunjuk utama kejayaan kempen. Ini kerana proses penukaran prospek kepada pelajar berdaftar melibatkan susulan oleh pasukan pengambilan, kelulusan pembiayaan PTPK dan keputusan peribadi calon — kesemuanya berada di luar skop aktiviti pemasaran media sosial yang didokumentasikan dalam LPKT ini. Penunjuk prestasi yang digunakan adalah metrik yang berada dalam kawalan langsung kempen, iaitu jangkauan, penglibatan, bilangan prospek dijana dan kos per prospek.</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kerangka teoritikal yang digunakan, mengenal pasti kekuatan dan kelemahan pelaksanaan, serta mengemukakan cadangan penambahbaikan berasaskan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Digital Mengatasi Batasan Geografi: </w:t>
      </w:r>
      <w:r>
        <w:rPr>
          <w:rFonts w:ascii="Times New Roman" w:cs="Times New Roman" w:eastAsia="Times New Roman" w:hAnsi="Times New Roman"/>
          <w:sz w:val="24"/>
          <w:szCs w:val="24"/>
        </w:rPr>
        <w:t xml:space="preserve">Dapatan paling ketara ialah kemampuan kempen menjangkau audiens jauh melepasi kedudukan fizikal institusi. Dengan 2,927,157 tontonan video dan prospek yang datang dari seluruh negara — Selangor (443), Kelantan (401), Johor (261) dan Sabah (129) — kempen ini membuktikan bahawa sebuah institusi kemahiran di pedalaman Pahang mampu bersaing merebut perhatian bakal pelajar pada skala nasional. Pahang sendiri hanya menyumbang 293 prospek (8.4%), menunjukkan bahawa nilai sebenar pemasaran digital bagi institusi luar bandar terletak pada keupayaannya menembusi pasaran luar kawasan.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Strategi Dwi-Platform Lead Generation: </w:t>
      </w:r>
      <w:r>
        <w:rPr>
          <w:rFonts w:ascii="Times New Roman" w:cs="Times New Roman" w:eastAsia="Times New Roman" w:hAnsi="Times New Roman"/>
          <w:sz w:val="24"/>
          <w:szCs w:val="24"/>
        </w:rPr>
        <w:t xml:space="preserve">Gabungan Meta Ads (2,336 prospek) dan TikTok Ads (1,134 prospek) menghasilkan 3,470 prospek sepanjang enam bulan. Yang lebih penting daripada jumlah tersebut ialah keputusan strategik yang membawa kepadanya: apabila prestasi Meta Ads menurun daripada 345 prospek (Januari) kepada 133 (Februari), saluran kedua dibuka pada Mac 2026. Menjelang Jun 2026, TikTok Ads menghasilkan 254 prospek berbanding Meta Ads 56 prospek. Data kos mengesahkan ketepatan keputusan tersebut dari sudut kedua: TikTok Ads beroperasi pada CPL RM2.03 berbanding Meta Ads RM4.28. Justeru saluran baharu yang dibuka bukan sahaja memulihkan jumlah prospek, malah melakukannya pada separuh kos setiap prospek. Keputusan berasaskan data ini menyelamatkan momentum kempen dan mencerminkan amalan pengoptimuman berterusan yang menjadi teras pendekatan PDCA (Deming, 1986).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Kandungan Bermotivasi Menjana Jangkauan Tertinggi: </w:t>
      </w:r>
      <w:r>
        <w:rPr>
          <w:rFonts w:ascii="Times New Roman" w:cs="Times New Roman" w:eastAsia="Times New Roman" w:hAnsi="Times New Roman"/>
          <w:sz w:val="24"/>
          <w:szCs w:val="24"/>
        </w:rPr>
        <w:t xml:space="preserve">Video "Ini adalah peluang kedua anda!" mencatatkan 3,800,000 tontonan — jauh mengatasi kandungan promosi program yang lain. Tema video ini menyentuh keresahan sebenar audiens sasaran, iaitu lepasan sekolah yang keputusan peperiksaannya tidak membolehkan kemasukan ke laluan akademik konvensional. Dapatan ini selari dengan pandangan Rutter, Roper dan Lettice (2016) bahawa kandungan yang membina hubungan emosi dengan bakal pelajar memberi kesan lebih besar kepada prestasi pengambilan berbanding kandungan bersifat pengumuman semata-mata. Video "PERHATIAN KEPADA IBU BAPA" (502,900 tontonan) pula mengesahkan kepentingan menyasarkan Persona B, iaitu ibu bapa yang turut terlibat dalam keputusan pengajian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Nisbah Jangkauan Berbanding Pengikut: </w:t>
      </w:r>
      <w:r>
        <w:rPr>
          <w:rFonts w:ascii="Times New Roman" w:cs="Times New Roman" w:eastAsia="Times New Roman" w:hAnsi="Times New Roman"/>
          <w:sz w:val="24"/>
          <w:szCs w:val="24"/>
        </w:rPr>
        <w:t xml:space="preserve">Jangkauan audiens TikTok (2,622,406) melebihi bilangan pengikut (13,800) dengan nisbah kira-kira 190:1. Ini mengesahkan bahawa pengedaran kandungan TikTok didorong oleh algoritma dan bukan oleh saiz pengikut, menjadikannya platform yang sesuai bagi institusi kecil yang bermula tanpa asas audiens yang besar. Sebaliknya, akaun Instagram hanya mencatatkan 165 pengikut — perbezaan yang menjelaskan mengapa tumpuan sumber kepada TikTok adalah keputusan yang wajar.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Kesan Spillover kepada Carian Organik: </w:t>
      </w:r>
      <w:r>
        <w:rPr>
          <w:rFonts w:ascii="Times New Roman" w:cs="Times New Roman" w:eastAsia="Times New Roman" w:hAnsi="Times New Roman"/>
          <w:sz w:val="24"/>
          <w:szCs w:val="24"/>
        </w:rPr>
        <w:t xml:space="preserve">Data Google Search Console menunjukkan kata kunci berjenama "tvet lipis" mencatatkan 120 klik daripada 603 tayangan. Carian berjenama merupakan penunjuk kesedaran jenama kerana ia memerlukan pengguna mengetahui nama institusi terlebih dahulu. Peningkatan ini mencerminkan kesan limpahan aktiviti media sosial kepada saluran carian, selaras dengan konsep integrasi saluran yang dihuraikan oleh Chaffey dan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Kecekapan Kos dan Pengoptimuman Berasaskan Data: </w:t>
      </w:r>
      <w:r>
        <w:rPr>
          <w:rFonts w:ascii="Times New Roman" w:cs="Times New Roman" w:eastAsia="Times New Roman" w:hAnsi="Times New Roman"/>
          <w:sz w:val="24"/>
          <w:szCs w:val="24"/>
        </w:rPr>
        <w:t xml:space="preserve">Kempen Meta Ads mencatatkan Kos Per Prospek keseluruhan sebanyak RM4.28 bagi 2,336 prospek dengan perbelanjaan RM9,987.56. Yang lebih bermakna daripada angka purata tersebut ialah corak pengoptimuman yang berjaya dilaksanakan: apabila CPL meningkat kepada RM9.65 pada Februari 2026, tindakan pembetulan dilaksanakan pada Mac dan CPL berjaya diturunkan kepada RM3.32 menjelang April — penambahbaikan sebanyak 65.6%. Ini menunjukkan amalan pemantauan dan pengoptimuman berterusan yang menjadi teras pengurusan kempen digital berkesan (Chaffey &amp;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Skop Kempen dan Had Tanggungjawab Pemasaran: </w:t>
      </w:r>
      <w:r>
        <w:rPr>
          <w:rFonts w:ascii="Times New Roman" w:cs="Times New Roman" w:eastAsia="Times New Roman" w:hAnsi="Times New Roman"/>
          <w:sz w:val="24"/>
          <w:szCs w:val="24"/>
        </w:rPr>
        <w:t xml:space="preserve">Kempen ini menjana 3,470 prospek, manakala 16 pendaftaran disahkan sepanjang tempoh yang sama. Perlu dibezakan dengan jelas antara dua peringkat: penjanaan prospek merupakan hasil langsung aktiviti pemasaran media sosial dan berada dalam skop CU C01, manakala penukaran prospek kepada pelajar berdaftar bergantung kepada proses susulan pasukan pengambilan, kelulusan pembiayaan PTPK dan keputusan peribadi calon. Data status dalam CRM juga tidak mencerminkan aktiviti susulan sebenar kerana sistem tersebut masih dalam fasa pelaksanaan sepanjang tempoh kempen. Justeru, penilaian keberkesanan kempen dalam LPKT ini berasaskan metrik yang berada dalam kawalan pemasaran — jangkauan, penglibatan, bilangan prospek dan kos per prospek.</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Nasional dengan Belanjawan Terkawal: </w:t>
      </w:r>
      <w:r>
        <w:rPr>
          <w:rFonts w:ascii="Times New Roman" w:cs="Times New Roman" w:eastAsia="Times New Roman" w:hAnsi="Times New Roman"/>
          <w:sz w:val="24"/>
          <w:szCs w:val="24"/>
        </w:rPr>
        <w:t xml:space="preserve">Kempen berjaya menjangkau bakal pelajar di seluruh Malaysia — termasuk Sabah — tanpa kos perjalanan, penginapan atau pengedaran bahan cetak yang diperlukan oleh kaedah pemasaran konvensional seperti lawatan sekolah dan pameran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Sumber Prospek Secara Automatik: </w:t>
      </w:r>
      <w:r>
        <w:rPr>
          <w:rFonts w:ascii="Times New Roman" w:cs="Times New Roman" w:eastAsia="Times New Roman" w:hAnsi="Times New Roman"/>
          <w:sz w:val="24"/>
          <w:szCs w:val="24"/>
        </w:rPr>
        <w:t xml:space="preserve">Integrasi borang Lead Generation dengan Sistem CRM membolehkan setiap prospek dikaitkan dengan platform sumbernya secara automatik. Ini menyelesaikan masalah kelima yang dikenal pasti dalam Bab 1, dan membolehkan analisis prestasi mengikut saluran, kursus, umur dan negeri.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Keupayaan Bertindak Balas Terhadap Data: </w:t>
      </w:r>
      <w:r>
        <w:rPr>
          <w:rFonts w:ascii="Times New Roman" w:cs="Times New Roman" w:eastAsia="Times New Roman" w:hAnsi="Times New Roman"/>
          <w:sz w:val="24"/>
          <w:szCs w:val="24"/>
        </w:rPr>
        <w:t xml:space="preserve">Pendekatan PDCA membolehkan tindakan pembetulan dilaksanakan dalam masa sebulan selepas penurunan prestasi dikesan. Pelancaran TikTok Ads pada Mac 2026 sebagai tindak balas kepada kemerosotan Meta Ads pada Februari merupakan bukti konkrit amalan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Kandungan Boleh Diguna Semula: </w:t>
      </w:r>
      <w:r>
        <w:rPr>
          <w:rFonts w:ascii="Times New Roman" w:cs="Times New Roman" w:eastAsia="Times New Roman" w:hAnsi="Times New Roman"/>
          <w:sz w:val="24"/>
          <w:szCs w:val="24"/>
        </w:rPr>
        <w:t xml:space="preserve">Video pendek yang dihasilkan untuk TikTok boleh diterbitkan semula di Instagram Reels dan Facebook tanpa kos pengeluaran tambahan, meningkatkan pulangan bagi setiap kandungan yang dihasilkan.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Prestasi Sebagai Aset Institusi: </w:t>
      </w:r>
      <w:r>
        <w:rPr>
          <w:rFonts w:ascii="Times New Roman" w:cs="Times New Roman" w:eastAsia="Times New Roman" w:hAnsi="Times New Roman"/>
          <w:sz w:val="24"/>
          <w:szCs w:val="24"/>
        </w:rPr>
        <w:t xml:space="preserve">Rekod 3,470 prospek dalam CRM merupakan aset yang kekal bernilai selepas kempen tamat — pangkalan data ini boleh diusahakan semula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Ketiadaan Alat Susulan Berskala: </w:t>
      </w:r>
      <w:r>
        <w:rPr>
          <w:rFonts w:ascii="Times New Roman" w:cs="Times New Roman" w:eastAsia="Times New Roman" w:hAnsi="Times New Roman"/>
          <w:sz w:val="24"/>
          <w:szCs w:val="24"/>
        </w:rPr>
        <w:t xml:space="preserve">Kempen berjaya menjana 3,470 prospek, namun tiada alat yang sesuai untuk menghubungi semula prospek pada skala tersebut. Penghantaran mesej pukal melalui akaun WhatsApp Business biasa berisiko menyebabkan akaun disekat atau digantung oleh Meta, manakala akaun WhatsApp Business API (WABA) yang membenarkan komunikasi berskala belum dilaksanakan. Ini menghadkan keupayaan memupuk prospek selepas borang diisi.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Rekod Status Prospek Tidak Lengkap: </w:t>
      </w:r>
      <w:r>
        <w:rPr>
          <w:rFonts w:ascii="Times New Roman" w:cs="Times New Roman" w:eastAsia="Times New Roman" w:hAnsi="Times New Roman"/>
          <w:sz w:val="24"/>
          <w:szCs w:val="24"/>
        </w:rPr>
        <w:t xml:space="preserve">Sistem CRM masih dalam fasa pelaksanaan sepanjang tempoh kempen, dan status prospek tidak dikemas kini secara konsisten selepas susulan dijalankan. Akibatnya, data CRM tidak boleh digunakan untuk mengukur kadar penukaran mengikut peringkat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Ketiadaan Meta Pixel dan Strategi Pemasaran Semula: </w:t>
      </w:r>
      <w:r>
        <w:rPr>
          <w:rFonts w:ascii="Times New Roman" w:cs="Times New Roman" w:eastAsia="Times New Roman" w:hAnsi="Times New Roman"/>
          <w:sz w:val="24"/>
          <w:szCs w:val="24"/>
        </w:rPr>
        <w:t xml:space="preserve">Tanpa Meta Pixel di tvetlipis.my, audiens pemasaran semula tidak dapat dibina. Prospek yang tidak bertindak balas kepada sentuhan pertama tidak disasarkan semula secara berstruktur.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Ketergantungan kepada Algoritma Platform: </w:t>
      </w:r>
      <w:r>
        <w:rPr>
          <w:rFonts w:ascii="Times New Roman" w:cs="Times New Roman" w:eastAsia="Times New Roman" w:hAnsi="Times New Roman"/>
          <w:sz w:val="24"/>
          <w:szCs w:val="24"/>
        </w:rPr>
        <w:t xml:space="preserve">Jangkauan organik bergantung sepenuhnya kepada algoritma yang boleh berubah tanpa notis. Penurunan mendadak prospek Meta Ads daripada 798 (April) kepada 56 (Jun) menunjukkan risiko bergantung kepada satu platform tunggal.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Ketidaksempurnaan Data Prospek: </w:t>
      </w:r>
      <w:r>
        <w:rPr>
          <w:rFonts w:ascii="Times New Roman" w:cs="Times New Roman" w:eastAsia="Times New Roman" w:hAnsi="Times New Roman"/>
          <w:sz w:val="24"/>
          <w:szCs w:val="24"/>
        </w:rPr>
        <w:t xml:space="preserve">Borang Meta Ads tidak menangkap umur, menyebabkan 67.4% prospek tidak mempunyai data demografi yang lengkap untuk tujuan kualifikasi dan analisis.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Beban Kerja Pengurusan Pelbagai Platform: </w:t>
      </w:r>
      <w:r>
        <w:rPr>
          <w:rFonts w:ascii="Times New Roman" w:cs="Times New Roman" w:eastAsia="Times New Roman" w:hAnsi="Times New Roman"/>
          <w:sz w:val="24"/>
          <w:szCs w:val="24"/>
        </w:rPr>
        <w:t xml:space="preserve">Pengurusan tiga platform organik dan dua platform iklan berbayar secara serentak oleh satu individu menyebabkan beban kerja tinggi, terutamanya dalam tempoh kemuncak pengambilan.</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sz w:val="24"/>
          <w:szCs w:val="24"/>
        </w:rPr>
        <w:t xml:space="preserve">Cadangan berikut disusun mengikut keutamaan berdasarkan potensi impak terhadap keberkesanan kempen pemasaran media sosial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Laksanakan WhatsApp Business API (WABA) sebagai Saluran Susulan Berskala</w:t>
      </w:r>
    </w:p>
    <w:p>
      <w:pPr>
        <w:spacing w:after="240" w:before="0" w:line="360" w:lineRule="auto"/>
      </w:pPr>
      <w:r>
        <w:rPr>
          <w:rFonts w:ascii="Times New Roman" w:cs="Times New Roman" w:eastAsia="Times New Roman" w:hAnsi="Times New Roman"/>
          <w:sz w:val="24"/>
          <w:szCs w:val="24"/>
        </w:rPr>
        <w:t xml:space="preserve">Cadangan ini mempunyai potensi impak terbesar. Kempen kini mampu menjana ribuan prospek, tetapi tiada saluran yang membenarkan komunikasi susulan pada skala tersebut. Akaun WhatsApp Business biasa tidak sesuai kerana penghantaran mesej pukal berisiko menyebabkan akaun disekat oleh Meta. Pelaksanaan WhatsApp Business API membolehkan penghantaran mesej templat yang diluluskan secara sah dan berskala, penjadualan mesej susulan automatik, serta integrasi terus dengan Sistem CRM. Ini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Agihkan Belanjawan Iklan Mengikut Prestasi Kos Setiap Saluran</w:t>
      </w:r>
    </w:p>
    <w:p>
      <w:pPr>
        <w:spacing w:after="240" w:before="0" w:line="360" w:lineRule="auto"/>
      </w:pPr>
      <w:r>
        <w:rPr>
          <w:rFonts w:ascii="Times New Roman" w:cs="Times New Roman" w:eastAsia="Times New Roman" w:hAnsi="Times New Roman"/>
          <w:sz w:val="24"/>
          <w:szCs w:val="24"/>
        </w:rPr>
        <w:t xml:space="preserve">Data enam bulan menunjukkan TikTok Ads beroperasi pada CPL RM2.03 berbanding Meta Ads RM4.28, sambil menyumbang 32.7% prospek daripada hanya 18.8% belanjawan. Sekiranya nisbah peruntukan diseimbangkan semula ke arah TikTok Ads pada kitaran akan datang, jumlah prospek yang lebih tinggi berpotensi dijana pada belanjawan yang sama. Dicadangkan pemantauan CPL dilakukan secara mingguan di kedua-dua platform, dan belanjawan dialihkan secara dinamik kepada saluran serta set iklan yang mencatatkan CPL terendah. Ujian diagnostik ke atas Meta Ads turut perlu dijalankan bagi menentukan sama ada CPL yang lebih tinggi berpunca daripada keletihan kreatif, persaingan bidaan atau ketepatan penyasaran.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Selaraskan Kandungan dengan Corak Permintaan Sebenar</w:t>
      </w:r>
    </w:p>
    <w:p>
      <w:pPr>
        <w:spacing w:after="240" w:before="0" w:line="360" w:lineRule="auto"/>
      </w:pPr>
      <w:r>
        <w:rPr>
          <w:rFonts w:ascii="Times New Roman" w:cs="Times New Roman" w:eastAsia="Times New Roman" w:hAnsi="Times New Roman"/>
          <w:sz w:val="24"/>
          <w:szCs w:val="24"/>
        </w:rPr>
        <w:t xml:space="preserve">Data prospek menunjukkan PAKK menyumbang 54.8% permintaan dan Pra-Sekolah 21.7% — bersamaan 76.5% permintaan tertumpu kepada dua program pendidikan kanak-kanak. Nisbah pengeluaran kandungan dan peruntukan iklan wajar diselaraskan mengikut corak permintaan ini. Penyasaran geografi juga perlu memberi keutamaan kepada Selangor, Kelantan, Pahang dan Johor yang mencatatkan bilangan prospek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Tingkatkan Pengeluaran Kandungan Bertema Motivasi dan Peluang Kedua</w:t>
      </w:r>
    </w:p>
    <w:p>
      <w:pPr>
        <w:spacing w:after="240" w:before="0" w:line="360" w:lineRule="auto"/>
      </w:pPr>
      <w:r>
        <w:rPr>
          <w:rFonts w:ascii="Times New Roman" w:cs="Times New Roman" w:eastAsia="Times New Roman" w:hAnsi="Times New Roman"/>
          <w:sz w:val="24"/>
          <w:szCs w:val="24"/>
        </w:rPr>
        <w:t xml:space="preserve">Video "Ini adalah peluang kedua anda!" mencatatkan 3,800,000 tontonan, jauh mengatasi kandungan promosi program biasa. Tema ini menyentuh keresahan sebenar audiens sasaran iaitu lepasan sekolah yang keputusan peperiksaannya tidak membolehkan kemasukan ke laluan akademik konvensional. Dicadangkan siri kandungan bertema serupa dibangunkan secara berkala, disokong oleh kandungan bersasarkan ibu bapa yang turut menunjukkan prestasi tinggi (502,900 tontonan).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Tambah Medan Kelayakan pada Borang Lead Generation Meta Ads</w:t>
      </w:r>
    </w:p>
    <w:p>
      <w:pPr>
        <w:spacing w:after="240" w:before="0" w:line="360" w:lineRule="auto"/>
      </w:pPr>
      <w:r>
        <w:rPr>
          <w:rFonts w:ascii="Times New Roman" w:cs="Times New Roman" w:eastAsia="Times New Roman" w:hAnsi="Times New Roman"/>
          <w:sz w:val="24"/>
          <w:szCs w:val="24"/>
        </w:rPr>
        <w:t xml:space="preserve">Borang TikTok Ads menangkap medan umur manakala borang Meta Ads tidak, menyebabkan hanya 32.6% rekod prospek mempunyai data umur yang lengkap. Penambahan medan umur dan status pemohon pada borang Meta Ads akan melengkapkan profil demografi prospek, membolehkan penilaian ketepatan penyasaran iklan dilakukan ke atas keseluruhan populasi prospek dan bukan subset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Pasang Meta Pixel dan Bina Audiens Pemasaran Semula</w:t>
      </w:r>
    </w:p>
    <w:p>
      <w:pPr>
        <w:spacing w:after="240" w:before="0" w:line="360" w:lineRule="auto"/>
      </w:pPr>
      <w:r>
        <w:rPr>
          <w:rFonts w:ascii="Times New Roman" w:cs="Times New Roman" w:eastAsia="Times New Roman" w:hAnsi="Times New Roman"/>
          <w:sz w:val="24"/>
          <w:szCs w:val="24"/>
        </w:rPr>
        <w:t xml:space="preserve">Pemasangan Meta Pixel di laman web akan membolehkan pembinaan audiens pemasaran semula daripada pelawat laman web, pengesanan penukaran yang lebih tepat, dan pengoptimuman automatik iklan berdasarkan data penukaran sebenar. Prospek yang tidak bertindak balas kepada iklan pertama boleh disasarkan semula secara automatik pada kos yang lebih rendah berbanding menjangkau audiens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Program Duta Pelajar dan Perluasan ke YouTube Shorts</w:t>
      </w:r>
    </w:p>
    <w:p>
      <w:pPr>
        <w:spacing w:after="240" w:before="0" w:line="360" w:lineRule="auto"/>
      </w:pPr>
      <w:r>
        <w:rPr>
          <w:rFonts w:ascii="Times New Roman" w:cs="Times New Roman" w:eastAsia="Times New Roman" w:hAnsi="Times New Roman"/>
          <w:sz w:val="24"/>
          <w:szCs w:val="24"/>
        </w:rPr>
        <w:t xml:space="preserve">Melibatkan pelajar semasa sebagai pencipta kandungan akan meningkatkan keaslian mesej sambil mengurangkan beban pengeluaran kandungan yang kini ditanggung oleh seorang individu. Kandungan video pendek sedia ada juga boleh diterbitkan semula di YouTube Shorts tanpa kos pengeluaran tambahan (Tuten &amp; Solomon, 2020).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Selaraskan Penggunaan Sistem CRM dengan Aliran Kerja Sebenar</w:t>
      </w:r>
    </w:p>
    <w:p>
      <w:pPr>
        <w:spacing w:after="240" w:before="0" w:line="360" w:lineRule="auto"/>
      </w:pPr>
      <w:r>
        <w:rPr>
          <w:rFonts w:ascii="Times New Roman" w:cs="Times New Roman" w:eastAsia="Times New Roman" w:hAnsi="Times New Roman"/>
          <w:sz w:val="24"/>
          <w:szCs w:val="24"/>
        </w:rPr>
        <w:t xml:space="preserve">Sistem CRM perlu diselaraskan dengan cara pasukan pengambilan bekerja sebenarnya, iaitu melalui WhatsApp dan bukan panggilan telefon. Integrasi antara WABA dan CRM akan membolehkan status prospek dikemas kini secara automatik apabila mesej dihantar atau dibalas, tanpa memerlukan kemasukan data manual. Ini akan menghasilkan data prestasi yang lebih tepat untuk penilaian kempen pada masa hadapan.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 memantau dan menilai kempen pemasaran media sosial bersepadu TVET Lipis sepanjang Januari hingga Jun 2026, merangkumi kandungan organik di TikTok, Instagram dan Facebook serta kempen iklan berbayar Lead Generation di Meta Ads dan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yang ditetapkan dalam Bab 1 telah ditangani. Objektif pertama dicapai melalui pembangunan dan pelaksanaan Kalendar Kandungan enam bulan serta pengurusan kempen iklan di dua platform. Objektif kedua dicapai melalui pengumpulan dan analisis metrik prestasi yang menghasilkan dapatan terperinci mengikut sumber, bulan, kursus, umur dan negeri. Objektif ketiga dicapai sebahagian — penjanaan prospek melebihi jangkaan dengan 3,470 prospek direkodkan, namun kadar penukaran kepada pendaftaran hanya 0.46%.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ini menghasilkan 2,927,157 tontonan video, jangkauan audiens 2,622,406, dan 3,470 prospek dalam talian yang boleh dikesan sumbernya. Bagi sebuah institusi kemahiran di Kuala Lipis, pencapaian ini membuktikan bahawa strategi media sosial yang berstruktur mampu mengatasi batasan geografi yang selama ini menghadkan jangkauan pemasaran institusi luar bandar.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Pengajaran paling bernilai daripada kempen ini ialah kepentingan mengukur prestasi menggunakan metrik yang berada dalam kawalan sebenar kempen. Jangkauan, penglibatan, bilangan prospek dan kos per prospek merupakan hasil langsung keputusan pemasaran yang dibuat, manakala pendaftaran akhir bergantung kepada rantaian proses yang lebih panjang di luar skop pemasaran. Kempen ini juga mendedahkan bahawa keupayaan menjana prospek pada skala besar perlu diseimbangkan dengan alat komunikasi susulan yang bersesuaian — satu keperluan yang kini dikenal pasti dan dicadangkan penyelesaiannya melalui pelaksanaan WhatsApp Business API.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Keupayaan mengenal pasti kelemahan ini secara jujur berdasarkan data, membezakan antara kegagalan pemasaran dan kegagalan operasi, serta mengemukakan cadangan pembetulan yang disusun mengikut potensi impak — merupakan bukti kompetensi pada peringkat Diploma Kemahiran Malaysia Tahap 4, selaras dengan kehendak NOSS M731-001-4:2021 CU C01 – Implement Social Media Marketing Campaign Plan.</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w:t>
      </w:r>
    </w:p>
    <w:p>
      <w:pPr>
        <w:spacing w:after="240" w:before="0" w:line="360" w:lineRule="auto"/>
      </w:pPr>
      <w:r>
        <w:rPr>
          <w:rFonts w:ascii="Times New Roman" w:cs="Times New Roman" w:eastAsia="Times New Roman" w:hAnsi="Times New Roman"/>
          <w:sz w:val="24"/>
          <w:szCs w:val="24"/>
        </w:rPr>
        <w:t xml:space="preserve">Tangkapan skrin Meta Ads Manager merangkumi semua kempen, prestasi set iklan, dan laporan CPL.</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2026-08-17T10:57:33.399Z</dcterms:created>
  <dcterms:modified xsi:type="dcterms:W3CDTF">2026-08-17T10:57:33.416Z</dcterms:modified>
</cp:coreProperties>
</file>

<file path=docProps/custom.xml><?xml version="1.0" encoding="utf-8"?>
<Properties xmlns="http://schemas.openxmlformats.org/officeDocument/2006/custom-properties" xmlns:vt="http://schemas.openxmlformats.org/officeDocument/2006/docPropsVTypes"/>
</file>