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__________________________________________</w:t>
      </w:r>
    </w:p>
    <w:p>
      <w:pPr>
        <w:spacing w:after="160" w:before="0" w:line="360" w:lineRule="auto"/>
        <w:jc w:val="center"/>
      </w:pPr>
      <w:r>
        <w:rPr>
          <w:rFonts w:ascii="Times New Roman" w:cs="Times New Roman" w:eastAsia="Times New Roman" w:hAnsi="Times New Roman"/>
          <w:i/>
          <w:iCs/>
          <w:sz w:val="20"/>
          <w:szCs w:val="20"/>
        </w:rPr>
        <w:t xml:space="preserve">(Nama rasmi pusat bertauliah seperti dalam sijil JPK)</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_______________________________________ (No. Tauliah JPK: K16005)</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Laporan Pengalaman Keterampilan Terdahulu (LPKT) ini mendokumentasikan pengalaman kerja Zuriel Seong Ming Ee dalam merancang dan melaksanakan strategi media sosial bagi meningkatkan pengambilan pelajar baharu bagi program Diploma Kemahiran Malaysia yang dipasarkan di bawah jenama "TVET Lipis" — sebuah jenama payung bagi pusat bertauliah Jabatan Pembangunan Kemahiran (No. Tauliah K16005) di Kuala Lipis, Pahang.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Tujuan LPKT ini ialah untuk mendokumentasikan pengalaman keterampilan dalam merancang Kalendar Kandungan, menerbitkan kandungan organik merentas platform TikTok, Instagram dan Facebook, serta menguruskan kempen iklan berbayar Meta Ads yang disasarkan kepada bakal pelajar berumur 17–25 tahun di Pahang dan negeri berjiran, merangkumi tempoh Januari hingga Jun 2026. Pembolehubah utama ialah keberkesanan strategi media sosial dalam menjana prospek (leads) yang direkodkan dalam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Instrumen yang digunakan merangkumi analitik platform (TikTok Analytics, Meta Business Suite, Google Search Console), Sistem CRM TVET Lipis untuk pengesanan prospek dalam talian, dan senarai semak kualiti kandungan. Pendekatan kajian tindakan berkitar PDCA (Plan-Do-Check-Act) digunakan sebagai kerangka pelaksanaan, manakala 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menunjukkan kempen menghasilkan 2,927,157 tontonan video di TikTok dengan jangkauan audiens 2,622,406, serta 3,470 prospek dalam talian — 2,336 (67.3%) melalui Meta Ads dan 1,134 (32.7%) melalui TikTok Ads. Prospek direkodkan daripada seluruh negara dengan Selangor (443), Kelantan (401) dan Pahang (293) sebagai penyumbang tertinggi, membuktikan keupayaan pemasaran digital mengatasi batasan geografi institusi luar bandar. Kursus PAKK mencatatkan permintaan tertinggi dengan 1,903 prospek (54.8%).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Dari segi keberkesanan kos, perbelanjaan iklan keseluruhan sebanyak RM12,292.39 menghasilkan Kos Per Prospek gabungan RM3.54. Analisis mengikut platform mendapati TikTok Ads beroperasi pada CPL RM2.03 berbanding Meta Ads RM4.28, iaitu 52.5% lebih rendah, sambil menyumbang 32.7% prospek daripada hanya 18.8% belanjawan. Pemantauan berkala turut membolehkan CPL Meta Ads diturunkan daripada RM9.65 (Februari) kepada RM3.32 (April), iaitu penambahbaikan 65.6%. Penyasaran iklan disahkan tepat dengan 86.4% prospek berumur 21 tahun ke bawah.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Lapan cadangan penambahbaikan dikemukakan mengikut keutamaan impak, dengan pelaksanaan WhatsApp Business API sebagai saluran susulan berskala sebagai keutamaan tertinggi bagi melengkapkan rantaian kempen daripada penjanaan prospek kepada pemupukan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Ads, CRM, Penjanaan Prospek, Corong Pemasaran, Institusi TVET</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ABSTRAK .......................................................................................... iii</w:t>
      </w:r>
    </w:p>
    <w:p>
      <w:pPr>
        <w:spacing w:after="240" w:before="0" w:line="360" w:lineRule="auto"/>
      </w:pPr>
      <w:r>
        <w:rPr>
          <w:rFonts w:ascii="Times New Roman" w:cs="Times New Roman" w:eastAsia="Times New Roman" w:hAnsi="Times New Roman"/>
          <w:sz w:val="24"/>
          <w:szCs w:val="24"/>
        </w:rPr>
        <w:t xml:space="preserve">SENARAI KANDUNGAN ............................................................................ iv</w:t>
      </w:r>
    </w:p>
    <w:p>
      <w:pPr>
        <w:spacing w:after="240" w:before="0" w:line="360" w:lineRule="auto"/>
      </w:pPr>
      <w:r>
        <w:rPr>
          <w:rFonts w:ascii="Times New Roman" w:cs="Times New Roman" w:eastAsia="Times New Roman" w:hAnsi="Times New Roman"/>
          <w:sz w:val="24"/>
          <w:szCs w:val="24"/>
        </w:rPr>
        <w:t xml:space="preserve">SENARAI JADUAL .................................................................................. v</w:t>
      </w:r>
    </w:p>
    <w:p>
      <w:pPr>
        <w:spacing w:after="240" w:before="0" w:line="360" w:lineRule="auto"/>
      </w:pPr>
      <w:r>
        <w:rPr>
          <w:rFonts w:ascii="Times New Roman" w:cs="Times New Roman" w:eastAsia="Times New Roman" w:hAnsi="Times New Roman"/>
          <w:sz w:val="24"/>
          <w:szCs w:val="24"/>
        </w:rPr>
        <w:t xml:space="preserve">SENARAI LAMPIRAN ................................................................................ v</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w:t>
      </w:r>
    </w:p>
    <w:p>
      <w:pPr>
        <w:spacing w:after="200" w:before="0" w:line="360" w:lineRule="auto"/>
        <w:ind w:left="720"/>
      </w:pPr>
      <w:r>
        <w:rPr>
          <w:rFonts w:ascii="Times New Roman" w:cs="Times New Roman" w:eastAsia="Times New Roman" w:hAnsi="Times New Roman"/>
          <w:sz w:val="24"/>
          <w:szCs w:val="24"/>
        </w:rPr>
        <w:t xml:space="preserve">1.2  Penyataan Masalah</w:t>
      </w:r>
    </w:p>
    <w:p>
      <w:pPr>
        <w:spacing w:after="200" w:before="0" w:line="360" w:lineRule="auto"/>
        <w:ind w:left="720"/>
      </w:pPr>
      <w:r>
        <w:rPr>
          <w:rFonts w:ascii="Times New Roman" w:cs="Times New Roman" w:eastAsia="Times New Roman" w:hAnsi="Times New Roman"/>
          <w:sz w:val="24"/>
          <w:szCs w:val="24"/>
        </w:rPr>
        <w:t xml:space="preserve">1.3  Objektif Projek</w:t>
      </w:r>
    </w:p>
    <w:p>
      <w:pPr>
        <w:spacing w:after="200" w:before="0" w:line="360" w:lineRule="auto"/>
        <w:ind w:left="720"/>
      </w:pPr>
      <w:r>
        <w:rPr>
          <w:rFonts w:ascii="Times New Roman" w:cs="Times New Roman" w:eastAsia="Times New Roman" w:hAnsi="Times New Roman"/>
          <w:sz w:val="24"/>
          <w:szCs w:val="24"/>
        </w:rPr>
        <w:t xml:space="preserve">1.4  Limitasi Projek</w:t>
      </w:r>
    </w:p>
    <w:p>
      <w:pPr>
        <w:spacing w:after="200" w:before="0" w:line="360" w:lineRule="auto"/>
        <w:ind w:left="720"/>
      </w:pPr>
      <w:r>
        <w:rPr>
          <w:rFonts w:ascii="Times New Roman" w:cs="Times New Roman" w:eastAsia="Times New Roman" w:hAnsi="Times New Roman"/>
          <w:sz w:val="24"/>
          <w:szCs w:val="24"/>
        </w:rPr>
        <w:t xml:space="preserve">1.5  Kepentingan Kajian</w:t>
      </w:r>
    </w:p>
    <w:p>
      <w:pPr>
        <w:spacing w:after="200" w:before="0" w:line="360" w:lineRule="auto"/>
        <w:ind w:left="720"/>
      </w:pPr>
      <w:r>
        <w:rPr>
          <w:rFonts w:ascii="Times New Roman" w:cs="Times New Roman" w:eastAsia="Times New Roman" w:hAnsi="Times New Roman"/>
          <w:sz w:val="24"/>
          <w:szCs w:val="24"/>
        </w:rPr>
        <w:t xml:space="preserve">1.6  Rumusan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METODOLOGI KAJIAN</w:t>
      </w:r>
    </w:p>
    <w:p>
      <w:pPr>
        <w:spacing w:after="200" w:before="0" w:line="360" w:lineRule="auto"/>
        <w:ind w:left="720"/>
      </w:pPr>
      <w:r>
        <w:rPr>
          <w:rFonts w:ascii="Times New Roman" w:cs="Times New Roman" w:eastAsia="Times New Roman" w:hAnsi="Times New Roman"/>
          <w:sz w:val="24"/>
          <w:szCs w:val="24"/>
        </w:rPr>
        <w:t xml:space="preserve">2.1  Pengenalan</w:t>
      </w:r>
    </w:p>
    <w:p>
      <w:pPr>
        <w:spacing w:after="200" w:before="0" w:line="360" w:lineRule="auto"/>
        <w:ind w:left="720"/>
      </w:pPr>
      <w:r>
        <w:rPr>
          <w:rFonts w:ascii="Times New Roman" w:cs="Times New Roman" w:eastAsia="Times New Roman" w:hAnsi="Times New Roman"/>
          <w:sz w:val="24"/>
          <w:szCs w:val="24"/>
        </w:rPr>
        <w:t xml:space="preserve">2.2  Kerangka Konseptual</w:t>
      </w:r>
    </w:p>
    <w:p>
      <w:pPr>
        <w:spacing w:after="200" w:before="0" w:line="360" w:lineRule="auto"/>
        <w:ind w:left="720"/>
      </w:pPr>
      <w:r>
        <w:rPr>
          <w:rFonts w:ascii="Times New Roman" w:cs="Times New Roman" w:eastAsia="Times New Roman" w:hAnsi="Times New Roman"/>
          <w:sz w:val="24"/>
          <w:szCs w:val="24"/>
        </w:rPr>
        <w:t xml:space="preserve">2.3  Reka Bentuk Kajian</w:t>
      </w:r>
    </w:p>
    <w:p>
      <w:pPr>
        <w:spacing w:after="200" w:before="0" w:line="360" w:lineRule="auto"/>
        <w:ind w:left="720"/>
      </w:pPr>
      <w:r>
        <w:rPr>
          <w:rFonts w:ascii="Times New Roman" w:cs="Times New Roman" w:eastAsia="Times New Roman" w:hAnsi="Times New Roman"/>
          <w:sz w:val="24"/>
          <w:szCs w:val="24"/>
        </w:rPr>
        <w:t xml:space="preserve">2.4  Kaedah Pengumpulan Data</w:t>
      </w:r>
    </w:p>
    <w:p>
      <w:pPr>
        <w:spacing w:after="200" w:before="0" w:line="360" w:lineRule="auto"/>
        <w:ind w:left="720"/>
      </w:pPr>
      <w:r>
        <w:rPr>
          <w:rFonts w:ascii="Times New Roman" w:cs="Times New Roman" w:eastAsia="Times New Roman" w:hAnsi="Times New Roman"/>
          <w:sz w:val="24"/>
          <w:szCs w:val="24"/>
        </w:rPr>
        <w:t xml:space="preserve">2.5  Instrumen Kajian</w:t>
      </w:r>
    </w:p>
    <w:p>
      <w:pPr>
        <w:spacing w:after="200" w:before="0" w:line="360" w:lineRule="auto"/>
        <w:ind w:left="720"/>
      </w:pPr>
      <w:r>
        <w:rPr>
          <w:rFonts w:ascii="Times New Roman" w:cs="Times New Roman" w:eastAsia="Times New Roman" w:hAnsi="Times New Roman"/>
          <w:sz w:val="24"/>
          <w:szCs w:val="24"/>
        </w:rPr>
        <w:t xml:space="preserve">2.6  Prosedur Pelaksanaan Kempen</w:t>
      </w:r>
    </w:p>
    <w:p>
      <w:pPr>
        <w:spacing w:after="200" w:before="0" w:line="360" w:lineRule="auto"/>
        <w:ind w:left="720"/>
      </w:pPr>
      <w:r>
        <w:rPr>
          <w:rFonts w:ascii="Times New Roman" w:cs="Times New Roman" w:eastAsia="Times New Roman" w:hAnsi="Times New Roman"/>
          <w:sz w:val="24"/>
          <w:szCs w:val="24"/>
        </w:rPr>
        <w:t xml:space="preserve">2.7  Analisis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PENEMUAN DAN ANALISIS</w:t>
      </w:r>
    </w:p>
    <w:p>
      <w:pPr>
        <w:spacing w:after="200" w:before="0" w:line="360" w:lineRule="auto"/>
        <w:ind w:left="720"/>
      </w:pPr>
      <w:r>
        <w:rPr>
          <w:rFonts w:ascii="Times New Roman" w:cs="Times New Roman" w:eastAsia="Times New Roman" w:hAnsi="Times New Roman"/>
          <w:sz w:val="24"/>
          <w:szCs w:val="24"/>
        </w:rPr>
        <w:t xml:space="preserve">3.1  Pengenalan</w:t>
      </w:r>
    </w:p>
    <w:p>
      <w:pPr>
        <w:spacing w:after="200" w:before="0" w:line="360" w:lineRule="auto"/>
        <w:ind w:left="720"/>
      </w:pPr>
      <w:r>
        <w:rPr>
          <w:rFonts w:ascii="Times New Roman" w:cs="Times New Roman" w:eastAsia="Times New Roman" w:hAnsi="Times New Roman"/>
          <w:sz w:val="24"/>
          <w:szCs w:val="24"/>
        </w:rPr>
        <w:t xml:space="preserve">3.2  Ringkasan Pelaksanaan Kempen</w:t>
      </w:r>
    </w:p>
    <w:p>
      <w:pPr>
        <w:spacing w:after="200" w:before="0" w:line="360" w:lineRule="auto"/>
        <w:ind w:left="720"/>
      </w:pPr>
      <w:r>
        <w:rPr>
          <w:rFonts w:ascii="Times New Roman" w:cs="Times New Roman" w:eastAsia="Times New Roman" w:hAnsi="Times New Roman"/>
          <w:sz w:val="24"/>
          <w:szCs w:val="24"/>
        </w:rPr>
        <w:t xml:space="preserve">3.3  Penemuan Platform TikTok</w:t>
      </w:r>
    </w:p>
    <w:p>
      <w:pPr>
        <w:spacing w:after="200" w:before="0" w:line="360" w:lineRule="auto"/>
        <w:ind w:left="720"/>
      </w:pPr>
      <w:r>
        <w:rPr>
          <w:rFonts w:ascii="Times New Roman" w:cs="Times New Roman" w:eastAsia="Times New Roman" w:hAnsi="Times New Roman"/>
          <w:sz w:val="24"/>
          <w:szCs w:val="24"/>
        </w:rPr>
        <w:t xml:space="preserve">3.4  Penemuan Platform Instagram</w:t>
      </w:r>
    </w:p>
    <w:p>
      <w:pPr>
        <w:spacing w:after="200" w:before="0" w:line="360" w:lineRule="auto"/>
        <w:ind w:left="720"/>
      </w:pPr>
      <w:r>
        <w:rPr>
          <w:rFonts w:ascii="Times New Roman" w:cs="Times New Roman" w:eastAsia="Times New Roman" w:hAnsi="Times New Roman"/>
          <w:sz w:val="24"/>
          <w:szCs w:val="24"/>
        </w:rPr>
        <w:t xml:space="preserve">3.5  Penemuan Kempen Meta Ads</w:t>
      </w:r>
    </w:p>
    <w:p>
      <w:pPr>
        <w:spacing w:after="200" w:before="0" w:line="360" w:lineRule="auto"/>
        <w:ind w:left="720"/>
      </w:pPr>
      <w:r>
        <w:rPr>
          <w:rFonts w:ascii="Times New Roman" w:cs="Times New Roman" w:eastAsia="Times New Roman" w:hAnsi="Times New Roman"/>
          <w:sz w:val="24"/>
          <w:szCs w:val="24"/>
        </w:rPr>
        <w:t xml:space="preserve">3.6  Analisis Carian Organik (Google Search Console)</w:t>
      </w:r>
    </w:p>
    <w:p>
      <w:pPr>
        <w:spacing w:after="200" w:before="0" w:line="360" w:lineRule="auto"/>
        <w:ind w:left="720"/>
      </w:pPr>
      <w:r>
        <w:rPr>
          <w:rFonts w:ascii="Times New Roman" w:cs="Times New Roman" w:eastAsia="Times New Roman" w:hAnsi="Times New Roman"/>
          <w:sz w:val="24"/>
          <w:szCs w:val="24"/>
        </w:rPr>
        <w:t xml:space="preserve">3.7  Analisis Penjanaan Prospek (CRM)</w:t>
      </w:r>
    </w:p>
    <w:p>
      <w:pPr>
        <w:spacing w:after="200" w:before="0" w:line="360" w:lineRule="auto"/>
        <w:ind w:left="720"/>
      </w:pPr>
      <w:r>
        <w:rPr>
          <w:rFonts w:ascii="Times New Roman" w:cs="Times New Roman" w:eastAsia="Times New Roman" w:hAnsi="Times New Roman"/>
          <w:sz w:val="24"/>
          <w:szCs w:val="24"/>
        </w:rPr>
        <w:t xml:space="preserve">3.8  Analisis Keberkesanan Kos Kempen Iklan Berbayar</w:t>
      </w:r>
    </w:p>
    <w:p>
      <w:pPr>
        <w:spacing w:after="200" w:before="0" w:line="360" w:lineRule="auto"/>
        <w:ind w:left="720"/>
      </w:pPr>
      <w:r>
        <w:rPr>
          <w:rFonts w:ascii="Times New Roman" w:cs="Times New Roman" w:eastAsia="Times New Roman" w:hAnsi="Times New Roman"/>
          <w:sz w:val="24"/>
          <w:szCs w:val="24"/>
        </w:rPr>
        <w:t xml:space="preserve">3.9  Pencapaian Berbanding Objektif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PERBINCANGAN, CADANGAN DAN KESIMPULAN</w:t>
      </w:r>
    </w:p>
    <w:p>
      <w:pPr>
        <w:spacing w:after="200" w:before="0" w:line="360" w:lineRule="auto"/>
        <w:ind w:left="720"/>
      </w:pPr>
      <w:r>
        <w:rPr>
          <w:rFonts w:ascii="Times New Roman" w:cs="Times New Roman" w:eastAsia="Times New Roman" w:hAnsi="Times New Roman"/>
          <w:sz w:val="24"/>
          <w:szCs w:val="24"/>
        </w:rPr>
        <w:t xml:space="preserve">4.1  Perbincangan Penemuan</w:t>
      </w:r>
    </w:p>
    <w:p>
      <w:pPr>
        <w:spacing w:after="200" w:before="0" w:line="360" w:lineRule="auto"/>
        <w:ind w:left="720"/>
      </w:pPr>
      <w:r>
        <w:rPr>
          <w:rFonts w:ascii="Times New Roman" w:cs="Times New Roman" w:eastAsia="Times New Roman" w:hAnsi="Times New Roman"/>
          <w:sz w:val="24"/>
          <w:szCs w:val="24"/>
        </w:rPr>
        <w:t xml:space="preserve">4.2  Kelemahan dan Kelebihan</w:t>
      </w:r>
    </w:p>
    <w:p>
      <w:pPr>
        <w:spacing w:after="200" w:before="0" w:line="360" w:lineRule="auto"/>
        <w:ind w:left="720"/>
      </w:pPr>
      <w:r>
        <w:rPr>
          <w:rFonts w:ascii="Times New Roman" w:cs="Times New Roman" w:eastAsia="Times New Roman" w:hAnsi="Times New Roman"/>
          <w:sz w:val="24"/>
          <w:szCs w:val="24"/>
        </w:rPr>
        <w:t xml:space="preserve">4.3  Cadangan</w:t>
      </w:r>
    </w:p>
    <w:p>
      <w:pPr>
        <w:spacing w:after="200" w:before="0" w:line="360" w:lineRule="auto"/>
        <w:ind w:left="720"/>
      </w:pPr>
      <w:r>
        <w:rPr>
          <w:rFonts w:ascii="Times New Roman" w:cs="Times New Roman" w:eastAsia="Times New Roman" w:hAnsi="Times New Roman"/>
          <w:sz w:val="24"/>
          <w:szCs w:val="24"/>
        </w:rPr>
        <w:t xml:space="preserve">4.4  Kesimpulan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SENARAI JADUAL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w:t>
      </w:r>
    </w:p>
    <w:p>
      <w:pPr>
        <w:spacing w:after="200" w:before="0" w:line="360" w:lineRule="auto"/>
        <w:ind w:left="720"/>
      </w:pPr>
      <w:r>
        <w:rPr>
          <w:rFonts w:ascii="Times New Roman" w:cs="Times New Roman" w:eastAsia="Times New Roman" w:hAnsi="Times New Roman"/>
          <w:sz w:val="24"/>
          <w:szCs w:val="24"/>
        </w:rPr>
        <w:t xml:space="preserve">Jadual 2.1  Kerangka PESO dan Aplikasinya dalam Kempen TVET Lipis</w:t>
      </w:r>
    </w:p>
    <w:p>
      <w:pPr>
        <w:spacing w:after="200" w:before="0" w:line="360" w:lineRule="auto"/>
        <w:ind w:left="720"/>
      </w:pPr>
      <w:r>
        <w:rPr>
          <w:rFonts w:ascii="Times New Roman" w:cs="Times New Roman" w:eastAsia="Times New Roman" w:hAnsi="Times New Roman"/>
          <w:sz w:val="24"/>
          <w:szCs w:val="24"/>
        </w:rPr>
        <w:t xml:space="preserve">Jadual 2.2  Model RACE dan Metrik Pengukuran Prestasi</w:t>
      </w:r>
    </w:p>
    <w:p>
      <w:pPr>
        <w:spacing w:after="200" w:before="0" w:line="360" w:lineRule="auto"/>
        <w:ind w:left="720"/>
      </w:pPr>
      <w:r>
        <w:rPr>
          <w:rFonts w:ascii="Times New Roman" w:cs="Times New Roman" w:eastAsia="Times New Roman" w:hAnsi="Times New Roman"/>
          <w:sz w:val="24"/>
          <w:szCs w:val="24"/>
        </w:rPr>
        <w:t xml:space="preserve">Jadual 2.3  Fasa PDCA dan Aktiviti Pelaksanaan Kempen</w:t>
      </w:r>
    </w:p>
    <w:p>
      <w:pPr>
        <w:spacing w:after="200" w:before="0" w:line="360" w:lineRule="auto"/>
        <w:ind w:left="720"/>
      </w:pPr>
      <w:r>
        <w:rPr>
          <w:rFonts w:ascii="Times New Roman" w:cs="Times New Roman" w:eastAsia="Times New Roman" w:hAnsi="Times New Roman"/>
          <w:sz w:val="24"/>
          <w:szCs w:val="24"/>
        </w:rPr>
        <w:t xml:space="preserve">Jadual 2.4  Sumber Analitik Platform dan Data yang Dikumpulkan</w:t>
      </w:r>
    </w:p>
    <w:p>
      <w:pPr>
        <w:spacing w:after="200" w:before="0" w:line="360" w:lineRule="auto"/>
        <w:ind w:left="720"/>
      </w:pPr>
      <w:r>
        <w:rPr>
          <w:rFonts w:ascii="Times New Roman" w:cs="Times New Roman" w:eastAsia="Times New Roman" w:hAnsi="Times New Roman"/>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w:t>
      </w:r>
    </w:p>
    <w:p>
      <w:pPr>
        <w:spacing w:after="200" w:before="0" w:line="360" w:lineRule="auto"/>
        <w:ind w:left="720"/>
      </w:pPr>
      <w:r>
        <w:rPr>
          <w:rFonts w:ascii="Times New Roman" w:cs="Times New Roman" w:eastAsia="Times New Roman" w:hAnsi="Times New Roman"/>
          <w:sz w:val="24"/>
          <w:szCs w:val="24"/>
        </w:rPr>
        <w:t xml:space="preserve">Jadual 3.1   Ringkasan Pelaksanaan Kempen Media Sosial (Jan – Jun 2026)</w:t>
      </w:r>
    </w:p>
    <w:p>
      <w:pPr>
        <w:spacing w:after="200" w:before="0" w:line="360" w:lineRule="auto"/>
        <w:ind w:left="720"/>
      </w:pPr>
      <w:r>
        <w:rPr>
          <w:rFonts w:ascii="Times New Roman" w:cs="Times New Roman" w:eastAsia="Times New Roman" w:hAnsi="Times New Roman"/>
          <w:sz w:val="24"/>
          <w:szCs w:val="24"/>
        </w:rPr>
        <w:t xml:space="preserve">Jadual 3.2   Ringkasan Prestasi TikTok @tvet_lipis</w:t>
      </w:r>
    </w:p>
    <w:p>
      <w:pPr>
        <w:spacing w:after="200" w:before="0" w:line="360" w:lineRule="auto"/>
        <w:ind w:left="720"/>
      </w:pPr>
      <w:r>
        <w:rPr>
          <w:rFonts w:ascii="Times New Roman" w:cs="Times New Roman" w:eastAsia="Times New Roman" w:hAnsi="Times New Roman"/>
          <w:sz w:val="24"/>
          <w:szCs w:val="24"/>
        </w:rPr>
        <w:t xml:space="preserve">Jadual 3.3   Video TikTok 5 Teratas Mengikut Tontonan</w:t>
      </w:r>
    </w:p>
    <w:p>
      <w:pPr>
        <w:spacing w:after="200" w:before="0" w:line="360" w:lineRule="auto"/>
        <w:ind w:left="720"/>
      </w:pPr>
      <w:r>
        <w:rPr>
          <w:rFonts w:ascii="Times New Roman" w:cs="Times New Roman" w:eastAsia="Times New Roman" w:hAnsi="Times New Roman"/>
          <w:sz w:val="24"/>
          <w:szCs w:val="24"/>
        </w:rPr>
        <w:t xml:space="preserve">Jadual 3.4   Ringkasan Prestasi Instagram @tvet_lipis</w:t>
      </w:r>
    </w:p>
    <w:p>
      <w:pPr>
        <w:spacing w:after="200" w:before="0" w:line="360" w:lineRule="auto"/>
        <w:ind w:left="720"/>
      </w:pPr>
      <w:r>
        <w:rPr>
          <w:rFonts w:ascii="Times New Roman" w:cs="Times New Roman" w:eastAsia="Times New Roman" w:hAnsi="Times New Roman"/>
          <w:sz w:val="24"/>
          <w:szCs w:val="24"/>
        </w:rPr>
        <w:t xml:space="preserve">Jadual 3.5   Prestasi Meta Ads — Kempen Lead Generation</w:t>
      </w:r>
    </w:p>
    <w:p>
      <w:pPr>
        <w:spacing w:after="200" w:before="0" w:line="360" w:lineRule="auto"/>
        <w:ind w:left="720"/>
      </w:pPr>
      <w:r>
        <w:rPr>
          <w:rFonts w:ascii="Times New Roman" w:cs="Times New Roman" w:eastAsia="Times New Roman" w:hAnsi="Times New Roman"/>
          <w:sz w:val="24"/>
          <w:szCs w:val="24"/>
        </w:rPr>
        <w:t xml:space="preserve">Jadual 3.6   Prestasi Carian Organik tvetlipis.my</w:t>
      </w:r>
    </w:p>
    <w:p>
      <w:pPr>
        <w:spacing w:after="200" w:before="0" w:line="360" w:lineRule="auto"/>
        <w:ind w:left="720"/>
      </w:pPr>
      <w:r>
        <w:rPr>
          <w:rFonts w:ascii="Times New Roman" w:cs="Times New Roman" w:eastAsia="Times New Roman" w:hAnsi="Times New Roman"/>
          <w:sz w:val="24"/>
          <w:szCs w:val="24"/>
        </w:rPr>
        <w:t xml:space="preserve">Jadual 3.7   Kata Kunci Teratas (Google Search Console)</w:t>
      </w:r>
    </w:p>
    <w:p>
      <w:pPr>
        <w:spacing w:after="200" w:before="0" w:line="360" w:lineRule="auto"/>
        <w:ind w:left="720"/>
      </w:pPr>
      <w:r>
        <w:rPr>
          <w:rFonts w:ascii="Times New Roman" w:cs="Times New Roman" w:eastAsia="Times New Roman" w:hAnsi="Times New Roman"/>
          <w:sz w:val="24"/>
          <w:szCs w:val="24"/>
        </w:rPr>
        <w:t xml:space="preserve">Jadual 3.8   Jumlah Prospek Online Mengikut Sumber</w:t>
      </w:r>
    </w:p>
    <w:p>
      <w:pPr>
        <w:spacing w:after="200" w:before="0" w:line="360" w:lineRule="auto"/>
        <w:ind w:left="720"/>
      </w:pPr>
      <w:r>
        <w:rPr>
          <w:rFonts w:ascii="Times New Roman" w:cs="Times New Roman" w:eastAsia="Times New Roman" w:hAnsi="Times New Roman"/>
          <w:sz w:val="24"/>
          <w:szCs w:val="24"/>
        </w:rPr>
        <w:t xml:space="preserve">Jadual 3.9   Prospek Online Mengikut Bulan dan Saluran</w:t>
      </w:r>
    </w:p>
    <w:p>
      <w:pPr>
        <w:spacing w:after="200" w:before="0" w:line="360" w:lineRule="auto"/>
        <w:ind w:left="720"/>
      </w:pPr>
      <w:r>
        <w:rPr>
          <w:rFonts w:ascii="Times New Roman" w:cs="Times New Roman" w:eastAsia="Times New Roman" w:hAnsi="Times New Roman"/>
          <w:sz w:val="24"/>
          <w:szCs w:val="24"/>
        </w:rPr>
        <w:t xml:space="preserve">Jadual 3.10  Prospek Online Mengikut Kursus</w:t>
      </w:r>
    </w:p>
    <w:p>
      <w:pPr>
        <w:spacing w:after="200" w:before="0" w:line="360" w:lineRule="auto"/>
        <w:ind w:left="720"/>
      </w:pPr>
      <w:r>
        <w:rPr>
          <w:rFonts w:ascii="Times New Roman" w:cs="Times New Roman" w:eastAsia="Times New Roman" w:hAnsi="Times New Roman"/>
          <w:sz w:val="24"/>
          <w:szCs w:val="24"/>
        </w:rPr>
        <w:t xml:space="preserve">Jadual 3.11  Status Prospek dalam Sistem CRM</w:t>
      </w:r>
    </w:p>
    <w:p>
      <w:pPr>
        <w:spacing w:after="200" w:before="0" w:line="360" w:lineRule="auto"/>
        <w:ind w:left="720"/>
      </w:pPr>
      <w:r>
        <w:rPr>
          <w:rFonts w:ascii="Times New Roman" w:cs="Times New Roman" w:eastAsia="Times New Roman" w:hAnsi="Times New Roman"/>
          <w:sz w:val="24"/>
          <w:szCs w:val="24"/>
        </w:rPr>
        <w:t xml:space="preserve">Jadual 3.12  Profil Demografi Prospek</w:t>
      </w:r>
    </w:p>
    <w:p>
      <w:pPr>
        <w:spacing w:after="200" w:before="0" w:line="360" w:lineRule="auto"/>
        <w:ind w:left="720"/>
      </w:pPr>
      <w:r>
        <w:rPr>
          <w:rFonts w:ascii="Times New Roman" w:cs="Times New Roman" w:eastAsia="Times New Roman" w:hAnsi="Times New Roman"/>
          <w:sz w:val="24"/>
          <w:szCs w:val="24"/>
        </w:rPr>
        <w:t xml:space="preserve">Jadual 3.13  Negeri Teratas Mengikut Bilangan Prospek</w:t>
      </w:r>
    </w:p>
    <w:p>
      <w:pPr>
        <w:spacing w:after="200" w:before="0" w:line="360" w:lineRule="auto"/>
        <w:ind w:left="720"/>
      </w:pPr>
      <w:r>
        <w:rPr>
          <w:rFonts w:ascii="Times New Roman" w:cs="Times New Roman" w:eastAsia="Times New Roman" w:hAnsi="Times New Roman"/>
          <w:sz w:val="24"/>
          <w:szCs w:val="24"/>
        </w:rPr>
        <w:t xml:space="preserve">Jadual 3.14  Ringkasan Perbelanjaan dan Kos Per Prospek Mengikut Platform</w:t>
      </w:r>
    </w:p>
    <w:p>
      <w:pPr>
        <w:spacing w:after="200" w:before="0" w:line="360" w:lineRule="auto"/>
        <w:ind w:left="720"/>
      </w:pPr>
      <w:r>
        <w:rPr>
          <w:rFonts w:ascii="Times New Roman" w:cs="Times New Roman" w:eastAsia="Times New Roman" w:hAnsi="Times New Roman"/>
          <w:sz w:val="24"/>
          <w:szCs w:val="24"/>
        </w:rPr>
        <w:t xml:space="preserve">Jadual 3.15  Perbandingan Sumber Data Kos dan Prospek Kempen Meta</w:t>
      </w:r>
    </w:p>
    <w:p>
      <w:pPr>
        <w:spacing w:after="200" w:before="0" w:line="360" w:lineRule="auto"/>
        <w:ind w:left="720"/>
      </w:pPr>
      <w:r>
        <w:rPr>
          <w:rFonts w:ascii="Times New Roman" w:cs="Times New Roman" w:eastAsia="Times New Roman" w:hAnsi="Times New Roman"/>
          <w:sz w:val="24"/>
          <w:szCs w:val="24"/>
        </w:rPr>
        <w:t xml:space="preserve">Jadual 3.16  Perbelanjaan Meta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3.17  Kecekapan Set Iklan Meta Ads Mengikut Kos Per Prospek</w:t>
      </w:r>
    </w:p>
    <w:p>
      <w:pPr>
        <w:spacing w:after="200" w:before="0" w:line="360" w:lineRule="auto"/>
        <w:ind w:left="720"/>
      </w:pPr>
      <w:r>
        <w:rPr>
          <w:rFonts w:ascii="Times New Roman" w:cs="Times New Roman" w:eastAsia="Times New Roman" w:hAnsi="Times New Roman"/>
          <w:sz w:val="24"/>
          <w:szCs w:val="24"/>
        </w:rPr>
        <w:t xml:space="preserve">Jadual 3.18  Perbelanjaan TikTok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3.19  Penilaian Pencapaian Objektif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SENARAI LAMPIRAN</w:t>
      </w:r>
    </w:p>
    <w:p>
      <w:pPr>
        <w:spacing w:after="200" w:before="0" w:line="360" w:lineRule="auto"/>
        <w:ind w:left="720"/>
      </w:pPr>
      <w:r>
        <w:rPr>
          <w:rFonts w:ascii="Times New Roman" w:cs="Times New Roman" w:eastAsia="Times New Roman" w:hAnsi="Times New Roman"/>
          <w:sz w:val="24"/>
          <w:szCs w:val="24"/>
        </w:rPr>
        <w:t xml:space="preserve">Lampiran A  Kalendar Kandungan Media Sosial (Jan – Jun 2026)</w:t>
      </w:r>
    </w:p>
    <w:p>
      <w:pPr>
        <w:spacing w:after="200" w:before="0" w:line="360" w:lineRule="auto"/>
        <w:ind w:left="720"/>
      </w:pPr>
      <w:r>
        <w:rPr>
          <w:rFonts w:ascii="Times New Roman" w:cs="Times New Roman" w:eastAsia="Times New Roman" w:hAnsi="Times New Roman"/>
          <w:sz w:val="24"/>
          <w:szCs w:val="24"/>
        </w:rPr>
        <w:t xml:space="preserve">Lampiran B  TikTok Analytics dan Prestasi Kandungan</w:t>
      </w:r>
    </w:p>
    <w:p>
      <w:pPr>
        <w:spacing w:after="200" w:before="0" w:line="360" w:lineRule="auto"/>
        <w:ind w:left="720"/>
      </w:pPr>
      <w:r>
        <w:rPr>
          <w:rFonts w:ascii="Times New Roman" w:cs="Times New Roman" w:eastAsia="Times New Roman" w:hAnsi="Times New Roman"/>
          <w:sz w:val="24"/>
          <w:szCs w:val="24"/>
        </w:rPr>
        <w:t xml:space="preserve">Lampiran C  Instagram Insights</w:t>
      </w:r>
    </w:p>
    <w:p>
      <w:pPr>
        <w:spacing w:after="200" w:before="0" w:line="360" w:lineRule="auto"/>
        <w:ind w:left="720"/>
      </w:pPr>
      <w:r>
        <w:rPr>
          <w:rFonts w:ascii="Times New Roman" w:cs="Times New Roman" w:eastAsia="Times New Roman" w:hAnsi="Times New Roman"/>
          <w:sz w:val="24"/>
          <w:szCs w:val="24"/>
        </w:rPr>
        <w:t xml:space="preserve">Lampiran D  Meta Ads Manager dan TikTok Ads Manager</w:t>
      </w:r>
    </w:p>
    <w:p>
      <w:pPr>
        <w:spacing w:after="200" w:before="0" w:line="360" w:lineRule="auto"/>
        <w:ind w:left="720"/>
      </w:pPr>
      <w:r>
        <w:rPr>
          <w:rFonts w:ascii="Times New Roman" w:cs="Times New Roman" w:eastAsia="Times New Roman" w:hAnsi="Times New Roman"/>
          <w:sz w:val="24"/>
          <w:szCs w:val="24"/>
        </w:rPr>
        <w:t xml:space="preserve">Lampiran E  Google Search Console</w:t>
      </w:r>
    </w:p>
    <w:p>
      <w:pPr>
        <w:spacing w:after="200" w:before="0" w:line="360" w:lineRule="auto"/>
        <w:ind w:left="720"/>
      </w:pPr>
      <w:r>
        <w:rPr>
          <w:rFonts w:ascii="Times New Roman" w:cs="Times New Roman" w:eastAsia="Times New Roman" w:hAnsi="Times New Roman"/>
          <w:sz w:val="24"/>
          <w:szCs w:val="24"/>
        </w:rPr>
        <w:t xml:space="preserve">Lampiran F  Data Prospek daripada Sistem CRM TVET Lipis</w:t>
      </w:r>
    </w:p>
    <w:p>
      <w:pPr>
        <w:spacing w:after="200" w:before="0" w:line="360" w:lineRule="auto"/>
        <w:ind w:left="720"/>
      </w:pPr>
      <w:r>
        <w:rPr>
          <w:rFonts w:ascii="Times New Roman" w:cs="Times New Roman" w:eastAsia="Times New Roman" w:hAnsi="Times New Roman"/>
          <w:sz w:val="24"/>
          <w:szCs w:val="24"/>
        </w:rPr>
        <w:t xml:space="preserve">Lampiran G  Contoh Kandungan Terbaik yang Diterbitkan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Pusat pendidikan kemahiran di Kuala Lipis, Pahang beroperasi di bawah pusat bertauliah Jabatan Pembangunan Kemahiran (JPK) dengan nombor tauliah K16005, terletak di Jalan Hospital, 27200 Kuala Lipis. Pusat ini menawarkan program Diploma Kemahiran Malaysia (DKM) dalam bidang Pendidikan Awal Kanak-Kanak (PAKK), Pra-Sekolah, Multimedia dan Elektrik, dengan pembiayaan melalui skim Perbadanan Tabung Pembangunan Kemahiran (PTPK).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Jenama Pemasaran "TVET Lipis". </w:t>
      </w:r>
      <w:r>
        <w:rPr>
          <w:rFonts w:ascii="Times New Roman" w:cs="Times New Roman" w:eastAsia="Times New Roman" w:hAnsi="Times New Roman"/>
          <w:sz w:val="24"/>
          <w:szCs w:val="24"/>
        </w:rPr>
        <w:t xml:space="preserve">"TVET Lipis" merupakan jenama pemasaran (marketing brand) dan bukan nama entiti yang berdaftar dengan JPK. Jenama ini dibangunkan secara strategik bagi menyatukan penawaran program daripada dua buah kolej di bawah satu identiti tunggal yang mudah dikenali. Keputusan menggunakan jenama payung ini diambil atas tiga pertimbangan pemasaran: pertama, nama rasmi kolej adalah panjang dan sukar diingati oleh bakal pelajar; kedua, istilah "TVET" telah dikenali secara meluas di Malaysia sebagai rujukan kepada pendidikan teknikal dan vokasional; dan ketiga, penggunaan satu jenama tunggal membolehkan usaha pemasaran media sosial ditumpukan kepada satu akaun bagi setiap platform, berbanding memecahkan jangkauan dan belanjawan kepada beberapa akaun berasingan.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Strategi jenama payung ini terbukti berkesan apabila kata kunci berjenama "tvet lipis" menjadi kata kunci carian organik tertinggi dengan 120 klik daripada 603 tayangan di Google (lihat seksyen 3.6), menunjukkan jenama tersebut berjaya tertanam dalam ingatan audiens sasaran. Sepanjang laporan ini, istilah "TVET Lipis" merujuk kepada jenama pemasaran tersebut, manakala urusan pentauliahan dan pensijilan kekal di bawah entiti berdaftar JPK K16005.</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FF6600"/>
          <w:sz w:val="22"/>
          <w:szCs w:val="22"/>
        </w:rPr>
        <w:t xml:space="preserve">[ ⚠️  DATA DIPERLUKAN: SAHKAN: Rekod akaun TikTok Ads menunjukkan nama entiti "Kolej Islam Antarabangsa Cawangan Kuala Lipis". Sahkan sama ada entiti ini yang memegang tauliah JPK K16005, dan nyatakan nama rasmi kolej kedua yang turut berada di bawah jenama TVET Lipis. Maklumat ini perlu tepat kerana ia muncul di muka hadapan dan halaman pengesahan LPKT.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Pengambilan pelajar baharu merupakan nadi kesinambungan operasi institusi pendidikan swasta. Bagi TVET Lipis yang beroperasi di Kuala Lipis — sebuah bandar kecil di pedalaman Pahang — cabaran pengambilan pelajar adalah lebih besar berbanding institusi di kawasan bandar utama. Kedudukan geografi yang jauh daripada pusat bandar utama menghadkan keberkesanan kaedah pemasaran konvensional seperti lawatan sekolah, pameran pendidikan dan risalah cetak, yang terikat kepada jarak fizikal dan kos perjalanan.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Media sosial telah menjadi saluran pemasaran utama dalam industri pendidikan kerana ia membolehkan institusi menjangkau bakal pelajar tanpa terikat kepada sempadan geografi. Bagi golongan belia lepasan SPM yang menjadi audiens sasaran utama TVET Lipis, platform video pendek seperti TikTok dan Instagram Reels merupakan saluran maklumat harian yang dominan (Datareportal, 2024). Kaplan dan Haenlein (2010) menegaskan bahawa media sosial mengubah hubungan organisasi-pengguna daripada komunikasi sehala kepada interaksi dua hala, manakala Rutter, Roper dan Lettice (2016) mendapati aktiviti media sosial institusi pendidikan mempunyai hubungan positif dengan prestasi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Berdasarkan konteks ini, TVET Lipis telah melaksanakan kempen pemasaran media sosial bersepadu sepanjang Januari hingga Jun 2026, menggabungkan kandungan organik di TikTok, Instagram dan Facebook dengan kempen iklan berbayar Lead Generation di dua platform — Meta Ads (Facebook dan Instagram) dan TikTok Ads. Kempen ini menghasilkan 2,927,157 tontonan video di TikTok dan 3,470 prospek dalam talian yang direkodkan dalam Sistem CRM institusi.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pengalaman keterampilan Zuriel Seong Ming Ee dalam merancang, melaksana, memantau dan menilai kempen tersebut,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Audit terhadap akaun media sosial dan rekod pengambilan pelajar TVET Lipis sebelum kempen bermula mengenal pasti masalah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Berstruktur — </w:t>
      </w:r>
      <w:r>
        <w:rPr>
          <w:rFonts w:ascii="Times New Roman" w:cs="Times New Roman" w:eastAsia="Times New Roman" w:hAnsi="Times New Roman"/>
          <w:sz w:val="24"/>
          <w:szCs w:val="24"/>
        </w:rPr>
        <w:t xml:space="preserve">Siaran media sosial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 </w:t>
      </w:r>
      <w:r>
        <w:rPr>
          <w:rFonts w:ascii="Times New Roman" w:cs="Times New Roman" w:eastAsia="Times New Roman" w:hAnsi="Times New Roman"/>
          <w:sz w:val="24"/>
          <w:szCs w:val="24"/>
        </w:rPr>
        <w:t xml:space="preserve">Kandungan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Iklan Tidak Disasarkan — </w:t>
      </w:r>
      <w:r>
        <w:rPr>
          <w:rFonts w:ascii="Times New Roman" w:cs="Times New Roman" w:eastAsia="Times New Roman" w:hAnsi="Times New Roman"/>
          <w:sz w:val="24"/>
          <w:szCs w:val="24"/>
        </w:rPr>
        <w:t xml:space="preserve">Perbelanjaan Meta Ads tidak diiringi strategi penyasaran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Pengesanan Data Prospek — </w:t>
      </w:r>
      <w:r>
        <w:rPr>
          <w:rFonts w:ascii="Times New Roman" w:cs="Times New Roman" w:eastAsia="Times New Roman" w:hAnsi="Times New Roman"/>
          <w:sz w:val="24"/>
          <w:szCs w:val="24"/>
        </w:rPr>
        <w:t xml:space="preserve">Prospek yang menghubungi tidak dapat dikaitkan dengan tepat kepada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TikTok, Instagram dan Facebook, serta pengurusan kempen iklan berbayar Lead Generation di Meta Ads dan TikTok Ads yang disasarkan kepada bakal pelajar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berdasarkan metrik utama termasuk jangkauan, tontonan video, kadar penglibatan, trafik carian organik, dan bilangan prospek dalam talian yang direkodkan dalam Sistem CRM TVET Lipis mengikut sumber, kursus dan lokasi.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menyokong pengambilan pelajar baharu — termasuk menganalisis kadar penukaran prospek kepada pelajar berdaftar — dan mengemukakan cadangan penambahbaikan berasaskan data untuk kempen masa hadapan.</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Kempen hanya meliputi TikTok, Instagram dan Facebook (kandungan organik) serta Meta Ads dan TikTok Ads (iklan berbayar). YouTube, Twitter/X, Threads dan LinkedIn tidak termasuk dalam skop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TikTok Ads pula hanya beroperasi bermula Mac 2026 (4 bulan), menjadikan perbandingan langsung antara kedua-dua platform iklan tidak seimbang dari segi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Ketidaklengkapan Data Demografi: </w:t>
      </w:r>
      <w:r>
        <w:rPr>
          <w:rFonts w:ascii="Times New Roman" w:cs="Times New Roman" w:eastAsia="Times New Roman" w:hAnsi="Times New Roman"/>
          <w:sz w:val="24"/>
          <w:szCs w:val="24"/>
        </w:rPr>
        <w:t xml:space="preserve">Medan umur hanya ditangkap secara konsisten oleh borang TikTok Ads (1,132 rekod daripada 3,470 prospek, iaitu 32.6%). Borang Meta Ads tidak menangkap umur, menyebabkan analisis demografi umur terhad kepada subset data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Metrik Facebook Organik Tidak Dikumpulkan: </w:t>
      </w:r>
      <w:r>
        <w:rPr>
          <w:rFonts w:ascii="Times New Roman" w:cs="Times New Roman" w:eastAsia="Times New Roman" w:hAnsi="Times New Roman"/>
          <w:sz w:val="24"/>
          <w:szCs w:val="24"/>
        </w:rPr>
        <w:t xml:space="preserve">Kandungan organik diterbitkan semula di halaman Facebook sebagai saluran sokongan, namun metrik prestasi halaman tersebut tidak direkodkan secara sistematik sepanjang tempoh kempen. Justeru, sumbangan Facebook organik kepada jangkauan keseluruhan tidak dapat dinilai. Facebook tetap dilaporkan sebagai penempatan iklan berbayar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Kandungan Organik Tidak Berpecah Bulanan: </w:t>
      </w:r>
      <w:r>
        <w:rPr>
          <w:rFonts w:ascii="Times New Roman" w:cs="Times New Roman" w:eastAsia="Times New Roman" w:hAnsi="Times New Roman"/>
          <w:sz w:val="24"/>
          <w:szCs w:val="24"/>
        </w:rPr>
        <w:t xml:space="preserve">TikTok Analytics hanya menyediakan pecahan organik berbanding berbayar bermula 1 Mac 2026. Tontonan bagi Januari dan Februari 2026 tidak dapat diasingkan mengikut kategori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Pengesanan Prospek Luar Borang: </w:t>
      </w:r>
      <w:r>
        <w:rPr>
          <w:rFonts w:ascii="Times New Roman" w:cs="Times New Roman" w:eastAsia="Times New Roman" w:hAnsi="Times New Roman"/>
          <w:sz w:val="24"/>
          <w:szCs w:val="24"/>
        </w:rPr>
        <w:t xml:space="preserve">Hanya prospek yang mengisi borang Lead Generation direkodkan secara automatik dengan sumber yang tepat. Prospek yang menghubungi terus melalui WhatsApp, panggilan telefon atau lawatan tidak dapat dikaitkan dengan saluran pemasaran tertentu.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Tiada Meta Pixel: </w:t>
      </w:r>
      <w:r>
        <w:rPr>
          <w:rFonts w:ascii="Times New Roman" w:cs="Times New Roman" w:eastAsia="Times New Roman" w:hAnsi="Times New Roman"/>
          <w:sz w:val="24"/>
          <w:szCs w:val="24"/>
        </w:rPr>
        <w:t xml:space="preserve">Tanpa Meta Pixel di laman web tvetlipis.my, kempen retargeting tidak dapat dilaksanakan dan pengesanan penukaran daripada lawatan laman web kepada pertanyaan tidak sepenuhnya automatik.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Rekod Status Prospek Tidak Lengkap: </w:t>
      </w:r>
      <w:r>
        <w:rPr>
          <w:rFonts w:ascii="Times New Roman" w:cs="Times New Roman" w:eastAsia="Times New Roman" w:hAnsi="Times New Roman"/>
          <w:sz w:val="24"/>
          <w:szCs w:val="24"/>
        </w:rPr>
        <w:t xml:space="preserve">Sistem CRM masih dalam fasa pelaksanaan sepanjang tempoh kempen. Pasukan pengambilan menjalankan susulan melalui WhatsApp tanpa mengemas kini status setiap prospek dalam sistem. Justeru, data peringkat corong dalam CRM tidak mencerminkan aktiviti susulan sebenar dan tidak digunakan untuk mengukur kadar penukaran mengikut peringkat.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ix.   Kadar Penukaran Dipengaruhi Faktor Luar Kawalan Kempen: </w:t>
      </w:r>
      <w:r>
        <w:rPr>
          <w:rFonts w:ascii="Times New Roman" w:cs="Times New Roman" w:eastAsia="Times New Roman" w:hAnsi="Times New Roman"/>
          <w:sz w:val="24"/>
          <w:szCs w:val="24"/>
        </w:rPr>
        <w:t xml:space="preserve">Penukaran prospek kepada pelajar berdaftar bergantung kepada proses susulan oleh pasukan pengambilan, kelulusan pembiayaan PTPK dan keputusan peribadi calon — faktor yang berada di luar skop aktiviti pemasaran media sosial yang didokumentasikan dalam LPKT ini.</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dengan data prestasi sebagai asas merancang belanjawan pemasaran dengan lebih efisien.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Institusi TVET lain di kawasan luar bandar: </w:t>
      </w:r>
      <w:r>
        <w:rPr>
          <w:rFonts w:ascii="Times New Roman" w:cs="Times New Roman" w:eastAsia="Times New Roman" w:hAnsi="Times New Roman"/>
          <w:sz w:val="24"/>
          <w:szCs w:val="24"/>
        </w:rPr>
        <w:t xml:space="preserve">LPKT ini membuktikan bahawa institusi kemahiran di kawasan pedalaman Malaysia boleh bersaing dalam merebut perhatian bakal pelajar melalui media sosial dengan strategi yang sistematik dan belanjawan yang terkawal.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berorientasikan keputusan perniagaan, selaras dengan NOSS M731-001-4:2021 CU C01.</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1 telah menghuraikan latar belakang, masalah, objektif, limitasi dan kepentingan kempen media sosial TVET Lipis. Berdasarkan lima masalah yang dikenal pasti — ketiadaan strategi berstruktur, jangkauan terhad, penglibatan rendah, iklan tidak disasarkan, dan tiada pengesanan data prospek — tiga objektif telah ditetapkan. Bab 2 seterusnya menghuraikan metodologi kajian yang digunakan untuk merancang dan melaksanakan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menghuraikan kerangka konseptual, pendekatan kajian, kaedah pengumpulan data, instrumen kajian, dan prosedur pelaksanaan kempen pemasaran media sosial TVET Lipis yang telah dilaksanakan sepanjang Januari hingga Jun 2026.</w:t>
      </w:r>
    </w:p>
    <w:p>
      <w:pPr>
        <w:spacing w:after="120" w:before="360" w:line="360" w:lineRule="auto"/>
      </w:pPr>
      <w:r>
        <w:rPr>
          <w:rFonts w:ascii="Times New Roman" w:cs="Times New Roman" w:eastAsia="Times New Roman" w:hAnsi="Times New Roman"/>
          <w:b/>
          <w:bCs/>
          <w:sz w:val="24"/>
          <w:szCs w:val="24"/>
          <w:u w:val="single"/>
        </w:rPr>
        <w:t xml:space="preserve">2.2  Kerangka Konseptual</w:t>
      </w:r>
    </w:p>
    <w:p>
      <w:pPr>
        <w:spacing w:after="240" w:before="0" w:line="360" w:lineRule="auto"/>
      </w:pPr>
      <w:r>
        <w:rPr>
          <w:rFonts w:ascii="Times New Roman" w:cs="Times New Roman" w:eastAsia="Times New Roman" w:hAnsi="Times New Roman"/>
          <w:sz w:val="24"/>
          <w:szCs w:val="24"/>
        </w:rPr>
        <w:t xml:space="preserve">Dua kerangka teoritikal digunakan sebagai panduan pelaksanaan dan penilaian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menjadi panduan integrasi saluran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2.1: Kerangka PESO dan Aplikasinya dalam Kempen TVET Lipis</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5260"/>
            <w:shd w:fill="D9D9D9" w:color="D9D9D9" w:val="clear"/>
          </w:tcPr>
          <w:p>
            <w:pPr>
              <w:spacing w:line="276"/>
            </w:pPr>
            <w:r>
              <w:rPr>
                <w:rFonts w:ascii="Times New Roman" w:cs="Times New Roman" w:eastAsia="Times New Roman" w:hAnsi="Times New Roman"/>
                <w:b/>
                <w:bCs/>
                <w:sz w:val="20"/>
                <w:szCs w:val="20"/>
              </w:rPr>
              <w:t xml:space="preserve">Aplikasi dalam Kempen TVET Lipis</w:t>
            </w:r>
          </w:p>
        </w:tc>
      </w:tr>
      <w:tr>
        <w:tc>
          <w:tcPr>
            <w:tcW w:type="dxa" w:w="1600"/>
          </w:tcPr>
          <w:p>
            <w:pPr>
              <w:spacing w:line="276"/>
            </w:pPr>
            <w:r>
              <w:rPr>
                <w:rFonts w:ascii="Times New Roman" w:cs="Times New Roman" w:eastAsia="Times New Roman" w:hAnsi="Times New Roman"/>
                <w:sz w:val="20"/>
                <w:szCs w:val="20"/>
              </w:rPr>
              <w:t xml:space="preserve">Paid (Berbayar)</w:t>
            </w:r>
          </w:p>
        </w:tc>
        <w:tc>
          <w:tcPr>
            <w:tcW w:type="dxa" w:w="2500"/>
          </w:tcPr>
          <w:p>
            <w:pPr>
              <w:spacing w:line="276"/>
            </w:pPr>
            <w:r>
              <w:rPr>
                <w:rFonts w:ascii="Times New Roman" w:cs="Times New Roman" w:eastAsia="Times New Roman" w:hAnsi="Times New Roman"/>
                <w:sz w:val="20"/>
                <w:szCs w:val="20"/>
              </w:rPr>
              <w:t xml:space="preserve">Pengiklanan berbayar</w:t>
            </w:r>
          </w:p>
        </w:tc>
        <w:tc>
          <w:tcPr>
            <w:tcW w:type="dxa" w:w="5260"/>
          </w:tcPr>
          <w:p>
            <w:pPr>
              <w:spacing w:line="276"/>
            </w:pPr>
            <w:r>
              <w:rPr>
                <w:rFonts w:ascii="Times New Roman" w:cs="Times New Roman" w:eastAsia="Times New Roman" w:hAnsi="Times New Roman"/>
                <w:sz w:val="20"/>
                <w:szCs w:val="20"/>
              </w:rPr>
              <w:t xml:space="preserve">Meta Ads (Facebook &amp; Instagram) dan TikTok Ads — kedua-duanya menggunakan borang Lead Generation dalam talian</w:t>
            </w:r>
          </w:p>
        </w:tc>
      </w:tr>
      <w:tr>
        <w:tc>
          <w:tcPr>
            <w:tcW w:type="dxa" w:w="1600"/>
          </w:tcPr>
          <w:p>
            <w:pPr>
              <w:spacing w:line="276"/>
            </w:pPr>
            <w:r>
              <w:rPr>
                <w:rFonts w:ascii="Times New Roman" w:cs="Times New Roman" w:eastAsia="Times New Roman" w:hAnsi="Times New Roman"/>
                <w:sz w:val="20"/>
                <w:szCs w:val="20"/>
              </w:rPr>
              <w:t xml:space="preserve">Earned (Diperoleh)</w:t>
            </w:r>
          </w:p>
        </w:tc>
        <w:tc>
          <w:tcPr>
            <w:tcW w:type="dxa" w:w="2500"/>
          </w:tcPr>
          <w:p>
            <w:pPr>
              <w:spacing w:line="276"/>
            </w:pPr>
            <w:r>
              <w:rPr>
                <w:rFonts w:ascii="Times New Roman" w:cs="Times New Roman" w:eastAsia="Times New Roman" w:hAnsi="Times New Roman"/>
                <w:sz w:val="20"/>
                <w:szCs w:val="20"/>
              </w:rPr>
              <w:t xml:space="preserve">Liputan organik pihak luar</w:t>
            </w:r>
          </w:p>
        </w:tc>
        <w:tc>
          <w:tcPr>
            <w:tcW w:type="dxa" w:w="5260"/>
          </w:tcPr>
          <w:p>
            <w:pPr>
              <w:spacing w:line="276"/>
            </w:pPr>
            <w:r>
              <w:rPr>
                <w:rFonts w:ascii="Times New Roman" w:cs="Times New Roman" w:eastAsia="Times New Roman" w:hAnsi="Times New Roman"/>
                <w:sz w:val="20"/>
                <w:szCs w:val="20"/>
              </w:rPr>
              <w:t xml:space="preserve">Perkongsian sukarela video oleh pengguna, komen dan sebutan; carian berjenama di Google</w:t>
            </w:r>
          </w:p>
        </w:tc>
      </w:tr>
      <w:tr>
        <w:tc>
          <w:tcPr>
            <w:tcW w:type="dxa" w:w="1600"/>
          </w:tcPr>
          <w:p>
            <w:pPr>
              <w:spacing w:line="276"/>
            </w:pPr>
            <w:r>
              <w:rPr>
                <w:rFonts w:ascii="Times New Roman" w:cs="Times New Roman" w:eastAsia="Times New Roman" w:hAnsi="Times New Roman"/>
                <w:sz w:val="20"/>
                <w:szCs w:val="20"/>
              </w:rPr>
              <w:t xml:space="preserve">Shared (Dikongsi)</w:t>
            </w:r>
          </w:p>
        </w:tc>
        <w:tc>
          <w:tcPr>
            <w:tcW w:type="dxa" w:w="2500"/>
          </w:tcPr>
          <w:p>
            <w:pPr>
              <w:spacing w:line="276"/>
            </w:pPr>
            <w:r>
              <w:rPr>
                <w:rFonts w:ascii="Times New Roman" w:cs="Times New Roman" w:eastAsia="Times New Roman" w:hAnsi="Times New Roman"/>
                <w:sz w:val="20"/>
                <w:szCs w:val="20"/>
              </w:rPr>
              <w:t xml:space="preserve">Kandungan dikongsi di platform</w:t>
            </w:r>
          </w:p>
        </w:tc>
        <w:tc>
          <w:tcPr>
            <w:tcW w:type="dxa" w:w="5260"/>
          </w:tcPr>
          <w:p>
            <w:pPr>
              <w:spacing w:line="276"/>
            </w:pPr>
            <w:r>
              <w:rPr>
                <w:rFonts w:ascii="Times New Roman" w:cs="Times New Roman" w:eastAsia="Times New Roman" w:hAnsi="Times New Roman"/>
                <w:sz w:val="20"/>
                <w:szCs w:val="20"/>
              </w:rPr>
              <w:t xml:space="preserve">TikTok, Instagram Reels, Facebook Posts — kandungan organik</w:t>
            </w:r>
          </w:p>
        </w:tc>
      </w:tr>
      <w:tr>
        <w:tc>
          <w:tcPr>
            <w:tcW w:type="dxa" w:w="1600"/>
          </w:tcPr>
          <w:p>
            <w:pPr>
              <w:spacing w:line="276"/>
            </w:pPr>
            <w:r>
              <w:rPr>
                <w:rFonts w:ascii="Times New Roman" w:cs="Times New Roman" w:eastAsia="Times New Roman" w:hAnsi="Times New Roman"/>
                <w:sz w:val="20"/>
                <w:szCs w:val="20"/>
              </w:rPr>
              <w:t xml:space="preserve">Owned (Dimiliki)</w:t>
            </w:r>
          </w:p>
        </w:tc>
        <w:tc>
          <w:tcPr>
            <w:tcW w:type="dxa" w:w="2500"/>
          </w:tcPr>
          <w:p>
            <w:pPr>
              <w:spacing w:line="276"/>
            </w:pPr>
            <w:r>
              <w:rPr>
                <w:rFonts w:ascii="Times New Roman" w:cs="Times New Roman" w:eastAsia="Times New Roman" w:hAnsi="Times New Roman"/>
                <w:sz w:val="20"/>
                <w:szCs w:val="20"/>
              </w:rPr>
              <w:t xml:space="preserve">Aset digital milik sendiri</w:t>
            </w:r>
          </w:p>
        </w:tc>
        <w:tc>
          <w:tcPr>
            <w:tcW w:type="dxa" w:w="5260"/>
          </w:tcPr>
          <w:p>
            <w:pPr>
              <w:spacing w:line="276"/>
            </w:pPr>
            <w:r>
              <w:rPr>
                <w:rFonts w:ascii="Times New Roman" w:cs="Times New Roman" w:eastAsia="Times New Roman" w:hAnsi="Times New Roman"/>
                <w:sz w:val="20"/>
                <w:szCs w:val="20"/>
              </w:rPr>
              <w:t xml:space="preserve">Akaun rasmi media sosial, laman web tvetlipis.my, pautan linktr.ee/tvetlipis, Sistem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2.2: Model RACE dan Metrik Pengukuran Prestasi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Metrik Digunakan</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1600"/>
          </w:tcPr>
          <w:p>
            <w:pPr>
              <w:spacing w:line="276"/>
            </w:pPr>
            <w:r>
              <w:rPr>
                <w:rFonts w:ascii="Times New Roman" w:cs="Times New Roman" w:eastAsia="Times New Roman" w:hAnsi="Times New Roman"/>
                <w:sz w:val="20"/>
                <w:szCs w:val="20"/>
              </w:rPr>
              <w:t xml:space="preserve">Reach</w:t>
            </w:r>
          </w:p>
        </w:tc>
        <w:tc>
          <w:tcPr>
            <w:tcW w:type="dxa" w:w="2200"/>
          </w:tcPr>
          <w:p>
            <w:pPr>
              <w:spacing w:line="276"/>
            </w:pPr>
            <w:r>
              <w:rPr>
                <w:rFonts w:ascii="Times New Roman" w:cs="Times New Roman" w:eastAsia="Times New Roman" w:hAnsi="Times New Roman"/>
                <w:sz w:val="20"/>
                <w:szCs w:val="20"/>
              </w:rPr>
              <w:t xml:space="preserve">Tingkatkan kesedaran jenama</w:t>
            </w:r>
          </w:p>
        </w:tc>
        <w:tc>
          <w:tcPr>
            <w:tcW w:type="dxa" w:w="2800"/>
          </w:tcPr>
          <w:p>
            <w:pPr>
              <w:spacing w:line="276"/>
            </w:pPr>
            <w:r>
              <w:rPr>
                <w:rFonts w:ascii="Times New Roman" w:cs="Times New Roman" w:eastAsia="Times New Roman" w:hAnsi="Times New Roman"/>
                <w:sz w:val="20"/>
                <w:szCs w:val="20"/>
              </w:rPr>
              <w:t xml:space="preserve">Tontonan video, jangkauan audiens, paparan profil</w:t>
            </w:r>
          </w:p>
        </w:tc>
        <w:tc>
          <w:tcPr>
            <w:tcW w:type="dxa" w:w="2760"/>
          </w:tcPr>
          <w:p>
            <w:pPr>
              <w:spacing w:line="276"/>
            </w:pPr>
            <w:r>
              <w:rPr>
                <w:rFonts w:ascii="Times New Roman" w:cs="Times New Roman" w:eastAsia="Times New Roman" w:hAnsi="Times New Roman"/>
                <w:sz w:val="20"/>
                <w:szCs w:val="20"/>
              </w:rPr>
              <w:t xml:space="preserve">TikTok Analytics, Meta Business Suite</w:t>
            </w:r>
          </w:p>
        </w:tc>
      </w:tr>
      <w:tr>
        <w:tc>
          <w:tcPr>
            <w:tcW w:type="dxa" w:w="1600"/>
          </w:tcPr>
          <w:p>
            <w:pPr>
              <w:spacing w:line="276"/>
            </w:pPr>
            <w:r>
              <w:rPr>
                <w:rFonts w:ascii="Times New Roman" w:cs="Times New Roman" w:eastAsia="Times New Roman" w:hAnsi="Times New Roman"/>
                <w:sz w:val="20"/>
                <w:szCs w:val="20"/>
              </w:rPr>
              <w:t xml:space="preserve">Act</w:t>
            </w:r>
          </w:p>
        </w:tc>
        <w:tc>
          <w:tcPr>
            <w:tcW w:type="dxa" w:w="2200"/>
          </w:tcPr>
          <w:p>
            <w:pPr>
              <w:spacing w:line="276"/>
            </w:pPr>
            <w:r>
              <w:rPr>
                <w:rFonts w:ascii="Times New Roman" w:cs="Times New Roman" w:eastAsia="Times New Roman" w:hAnsi="Times New Roman"/>
                <w:sz w:val="20"/>
                <w:szCs w:val="20"/>
              </w:rPr>
              <w:t xml:space="preserve">Dorong penglibatan</w:t>
            </w:r>
          </w:p>
        </w:tc>
        <w:tc>
          <w:tcPr>
            <w:tcW w:type="dxa" w:w="2800"/>
          </w:tcPr>
          <w:p>
            <w:pPr>
              <w:spacing w:line="276"/>
            </w:pPr>
            <w:r>
              <w:rPr>
                <w:rFonts w:ascii="Times New Roman" w:cs="Times New Roman" w:eastAsia="Times New Roman" w:hAnsi="Times New Roman"/>
                <w:sz w:val="20"/>
                <w:szCs w:val="20"/>
              </w:rPr>
              <w:t xml:space="preserve">Likes, komen, kongsi, klik pautan bio, kunjungan profil</w:t>
            </w:r>
          </w:p>
        </w:tc>
        <w:tc>
          <w:tcPr>
            <w:tcW w:type="dxa" w:w="2760"/>
          </w:tcPr>
          <w:p>
            <w:pPr>
              <w:spacing w:line="276"/>
            </w:pPr>
            <w:r>
              <w:rPr>
                <w:rFonts w:ascii="Times New Roman" w:cs="Times New Roman" w:eastAsia="Times New Roman" w:hAnsi="Times New Roman"/>
                <w:sz w:val="20"/>
                <w:szCs w:val="20"/>
              </w:rPr>
              <w:t xml:space="preserve">TikTok Analytics, Instagram Insights</w:t>
            </w:r>
          </w:p>
        </w:tc>
      </w:tr>
      <w:tr>
        <w:tc>
          <w:tcPr>
            <w:tcW w:type="dxa" w:w="1600"/>
          </w:tcPr>
          <w:p>
            <w:pPr>
              <w:spacing w:line="276"/>
            </w:pPr>
            <w:r>
              <w:rPr>
                <w:rFonts w:ascii="Times New Roman" w:cs="Times New Roman" w:eastAsia="Times New Roman" w:hAnsi="Times New Roman"/>
                <w:sz w:val="20"/>
                <w:szCs w:val="20"/>
              </w:rPr>
              <w:t xml:space="preserve">Convert</w:t>
            </w:r>
          </w:p>
        </w:tc>
        <w:tc>
          <w:tcPr>
            <w:tcW w:type="dxa" w:w="2200"/>
          </w:tcPr>
          <w:p>
            <w:pPr>
              <w:spacing w:line="276"/>
            </w:pPr>
            <w:r>
              <w:rPr>
                <w:rFonts w:ascii="Times New Roman" w:cs="Times New Roman" w:eastAsia="Times New Roman" w:hAnsi="Times New Roman"/>
                <w:sz w:val="20"/>
                <w:szCs w:val="20"/>
              </w:rPr>
              <w:t xml:space="preserve">Jana prospek pendaftaran</w:t>
            </w:r>
          </w:p>
        </w:tc>
        <w:tc>
          <w:tcPr>
            <w:tcW w:type="dxa" w:w="2800"/>
          </w:tcPr>
          <w:p>
            <w:pPr>
              <w:spacing w:line="276"/>
            </w:pPr>
            <w:r>
              <w:rPr>
                <w:rFonts w:ascii="Times New Roman" w:cs="Times New Roman" w:eastAsia="Times New Roman" w:hAnsi="Times New Roman"/>
                <w:sz w:val="20"/>
                <w:szCs w:val="20"/>
              </w:rPr>
              <w:t xml:space="preserve">Bilangan prospek, kos per prospek (CPL)</w:t>
            </w:r>
          </w:p>
        </w:tc>
        <w:tc>
          <w:tcPr>
            <w:tcW w:type="dxa" w:w="2760"/>
          </w:tcPr>
          <w:p>
            <w:pPr>
              <w:spacing w:line="276"/>
            </w:pPr>
            <w:r>
              <w:rPr>
                <w:rFonts w:ascii="Times New Roman" w:cs="Times New Roman" w:eastAsia="Times New Roman" w:hAnsi="Times New Roman"/>
                <w:sz w:val="20"/>
                <w:szCs w:val="20"/>
              </w:rPr>
              <w:t xml:space="preserve">Meta Ads Manager, TikTok Ads Manager, CRM</w:t>
            </w:r>
          </w:p>
        </w:tc>
      </w:tr>
      <w:tr>
        <w:tc>
          <w:tcPr>
            <w:tcW w:type="dxa" w:w="1600"/>
          </w:tcPr>
          <w:p>
            <w:pPr>
              <w:spacing w:line="276"/>
            </w:pPr>
            <w:r>
              <w:rPr>
                <w:rFonts w:ascii="Times New Roman" w:cs="Times New Roman" w:eastAsia="Times New Roman" w:hAnsi="Times New Roman"/>
                <w:sz w:val="20"/>
                <w:szCs w:val="20"/>
              </w:rPr>
              <w:t xml:space="preserve">Engage</w:t>
            </w:r>
          </w:p>
        </w:tc>
        <w:tc>
          <w:tcPr>
            <w:tcW w:type="dxa" w:w="2200"/>
          </w:tcPr>
          <w:p>
            <w:pPr>
              <w:spacing w:line="276"/>
            </w:pPr>
            <w:r>
              <w:rPr>
                <w:rFonts w:ascii="Times New Roman" w:cs="Times New Roman" w:eastAsia="Times New Roman" w:hAnsi="Times New Roman"/>
                <w:sz w:val="20"/>
                <w:szCs w:val="20"/>
              </w:rPr>
              <w:t xml:space="preserve">Bina komuniti dan tukar prospek kepada pelajar</w:t>
            </w:r>
          </w:p>
        </w:tc>
        <w:tc>
          <w:tcPr>
            <w:tcW w:type="dxa" w:w="2800"/>
          </w:tcPr>
          <w:p>
            <w:pPr>
              <w:spacing w:line="276"/>
            </w:pPr>
            <w:r>
              <w:rPr>
                <w:rFonts w:ascii="Times New Roman" w:cs="Times New Roman" w:eastAsia="Times New Roman" w:hAnsi="Times New Roman"/>
                <w:sz w:val="20"/>
                <w:szCs w:val="20"/>
              </w:rPr>
              <w:t xml:space="preserve">Pengikut, kadar penukaran prospek→pelajar berdaftar</w:t>
            </w:r>
          </w:p>
        </w:tc>
        <w:tc>
          <w:tcPr>
            <w:tcW w:type="dxa" w:w="2760"/>
          </w:tcPr>
          <w:p>
            <w:pPr>
              <w:spacing w:line="276"/>
            </w:pPr>
            <w:r>
              <w:rPr>
                <w:rFonts w:ascii="Times New Roman" w:cs="Times New Roman" w:eastAsia="Times New Roman" w:hAnsi="Times New Roman"/>
                <w:sz w:val="20"/>
                <w:szCs w:val="20"/>
              </w:rPr>
              <w:t xml:space="preserve">Analitik platform + corong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Model RACE dipilih kerana ia memetakan keseluruhan perjalanan bakal pelajar — daripada melihat video buat kali pertama (Reach), berinteraksi dengan kandungan (Act), mengisi borang prospek (Convert), sehingga proses susulan yang membawa kepada pendaftaran (Engage). Struktur ini membolehkan pengenalpastian tepat di peringkat mana corong pemasaran mengalami kebocoran terbesar, seperti yang dibentangkan dalam seksyen 3.7.</w:t>
      </w:r>
    </w:p>
    <w:p>
      <w:pPr>
        <w:spacing w:after="120" w:before="360" w:line="360" w:lineRule="auto"/>
      </w:pPr>
      <w:r>
        <w:rPr>
          <w:rFonts w:ascii="Times New Roman" w:cs="Times New Roman" w:eastAsia="Times New Roman" w:hAnsi="Times New Roman"/>
          <w:b/>
          <w:bCs/>
          <w:sz w:val="24"/>
          <w:szCs w:val="24"/>
          <w:u w:val="single"/>
        </w:rPr>
        <w:t xml:space="preserve">2.3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Pendekatan ini dipilih kerana ia membolehkan penyesuaian berterusan berdasarkan data prestasi semasa kempen berjalan — selaras dengan amalan pengurusan kempen digital yang menekankan pengoptimuman berterusan.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ini menggunakan pendekatan gabungan (mixed methods): kuantitatif (metrik platform, data CRM, perbelanjaan iklan) dan kualitatif (analisis kualiti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2.3: Fasa PDCA dan Aktiviti Pelaksanaan Kempen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5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600"/>
          </w:tcPr>
          <w:p>
            <w:pPr>
              <w:spacing w:line="276"/>
            </w:pPr>
            <w:r>
              <w:rPr>
                <w:rFonts w:ascii="Times New Roman" w:cs="Times New Roman" w:eastAsia="Times New Roman" w:hAnsi="Times New Roman"/>
                <w:sz w:val="20"/>
                <w:szCs w:val="20"/>
              </w:rPr>
              <w:t xml:space="preserve">Plan (Rancang)</w:t>
            </w:r>
          </w:p>
        </w:tc>
        <w:tc>
          <w:tcPr>
            <w:tcW w:type="dxa" w:w="5560"/>
          </w:tcPr>
          <w:p>
            <w:pPr>
              <w:spacing w:line="276"/>
            </w:pPr>
            <w:r>
              <w:rPr>
                <w:rFonts w:ascii="Times New Roman" w:cs="Times New Roman" w:eastAsia="Times New Roman" w:hAnsi="Times New Roman"/>
                <w:sz w:val="20"/>
                <w:szCs w:val="20"/>
              </w:rPr>
              <w:t xml:space="preserve">Audit akaun media sosial sedia ada, penetapan objektif SMART, pembinaan dua persona audiens (Persona A: lepasan SPM 17–19 tahun; Persona B: ibu bapa/penjaga 35–45 tahun), pembinaan Kalendar Kandungan 6 bulan, penetapan belanjawan dan konfigurasi borang Lead Generation Meta Ads</w:t>
            </w:r>
          </w:p>
        </w:tc>
        <w:tc>
          <w:tcPr>
            <w:tcW w:type="dxa" w:w="2200"/>
          </w:tcPr>
          <w:p>
            <w:pPr>
              <w:spacing w:line="276"/>
            </w:pPr>
            <w:r>
              <w:rPr>
                <w:rFonts w:ascii="Times New Roman" w:cs="Times New Roman" w:eastAsia="Times New Roman" w:hAnsi="Times New Roman"/>
                <w:sz w:val="20"/>
                <w:szCs w:val="20"/>
              </w:rPr>
              <w:t xml:space="preserve">Disember 2025 – Januari 2026</w:t>
            </w:r>
          </w:p>
        </w:tc>
      </w:tr>
      <w:tr>
        <w:tc>
          <w:tcPr>
            <w:tcW w:type="dxa" w:w="1600"/>
          </w:tcPr>
          <w:p>
            <w:pPr>
              <w:spacing w:line="276"/>
            </w:pPr>
            <w:r>
              <w:rPr>
                <w:rFonts w:ascii="Times New Roman" w:cs="Times New Roman" w:eastAsia="Times New Roman" w:hAnsi="Times New Roman"/>
                <w:sz w:val="20"/>
                <w:szCs w:val="20"/>
              </w:rPr>
              <w:t xml:space="preserve">Do (Laksana)</w:t>
            </w:r>
          </w:p>
        </w:tc>
        <w:tc>
          <w:tcPr>
            <w:tcW w:type="dxa" w:w="5560"/>
          </w:tcPr>
          <w:p>
            <w:pPr>
              <w:spacing w:line="276"/>
            </w:pPr>
            <w:r>
              <w:rPr>
                <w:rFonts w:ascii="Times New Roman" w:cs="Times New Roman" w:eastAsia="Times New Roman" w:hAnsi="Times New Roman"/>
                <w:sz w:val="20"/>
                <w:szCs w:val="20"/>
              </w:rPr>
              <w:t xml:space="preserve">Penerbitan kandungan organik mengikut Kalendar merentas TikTok, Instagram dan Facebook; pelancaran kempen Meta Ads Lead Generation (Januari 2026); pengurusan komuniti — balas komen dan DM dalam masa 24 jam</w:t>
            </w:r>
          </w:p>
        </w:tc>
        <w:tc>
          <w:tcPr>
            <w:tcW w:type="dxa" w:w="2200"/>
          </w:tcPr>
          <w:p>
            <w:pPr>
              <w:spacing w:line="276"/>
            </w:pPr>
            <w:r>
              <w:rPr>
                <w:rFonts w:ascii="Times New Roman" w:cs="Times New Roman" w:eastAsia="Times New Roman" w:hAnsi="Times New Roman"/>
                <w:sz w:val="20"/>
                <w:szCs w:val="20"/>
              </w:rPr>
              <w:t xml:space="preserve">Januari – Jun 2026</w:t>
            </w:r>
          </w:p>
        </w:tc>
      </w:tr>
      <w:tr>
        <w:tc>
          <w:tcPr>
            <w:tcW w:type="dxa" w:w="1600"/>
          </w:tcPr>
          <w:p>
            <w:pPr>
              <w:spacing w:line="276"/>
            </w:pPr>
            <w:r>
              <w:rPr>
                <w:rFonts w:ascii="Times New Roman" w:cs="Times New Roman" w:eastAsia="Times New Roman" w:hAnsi="Times New Roman"/>
                <w:sz w:val="20"/>
                <w:szCs w:val="20"/>
              </w:rPr>
              <w:t xml:space="preserve">Check (Semak)</w:t>
            </w:r>
          </w:p>
        </w:tc>
        <w:tc>
          <w:tcPr>
            <w:tcW w:type="dxa" w:w="5560"/>
          </w:tcPr>
          <w:p>
            <w:pPr>
              <w:spacing w:line="276"/>
            </w:pPr>
            <w:r>
              <w:rPr>
                <w:rFonts w:ascii="Times New Roman" w:cs="Times New Roman" w:eastAsia="Times New Roman" w:hAnsi="Times New Roman"/>
                <w:sz w:val="20"/>
                <w:szCs w:val="20"/>
              </w:rPr>
              <w:t xml:space="preserve">Pemantauan metrik platform dan data prospek CRM secara berkala; pengenalpastian penurunan prestasi Meta Ads pada Februari 2026 (133 prospek berbanding 345 pada Januari)</w:t>
            </w:r>
          </w:p>
        </w:tc>
        <w:tc>
          <w:tcPr>
            <w:tcW w:type="dxa" w:w="2200"/>
          </w:tcPr>
          <w:p>
            <w:pPr>
              <w:spacing w:line="276"/>
            </w:pPr>
            <w:r>
              <w:rPr>
                <w:rFonts w:ascii="Times New Roman" w:cs="Times New Roman" w:eastAsia="Times New Roman" w:hAnsi="Times New Roman"/>
                <w:sz w:val="20"/>
                <w:szCs w:val="20"/>
              </w:rPr>
              <w:t xml:space="preserve">Berterusan Januari – Jun 2026</w:t>
            </w:r>
          </w:p>
        </w:tc>
      </w:tr>
      <w:tr>
        <w:tc>
          <w:tcPr>
            <w:tcW w:type="dxa" w:w="1600"/>
          </w:tcPr>
          <w:p>
            <w:pPr>
              <w:spacing w:line="276"/>
            </w:pPr>
            <w:r>
              <w:rPr>
                <w:rFonts w:ascii="Times New Roman" w:cs="Times New Roman" w:eastAsia="Times New Roman" w:hAnsi="Times New Roman"/>
                <w:sz w:val="20"/>
                <w:szCs w:val="20"/>
              </w:rPr>
              <w:t xml:space="preserve">Act (Bertindak) — Kitaran 1</w:t>
            </w:r>
          </w:p>
        </w:tc>
        <w:tc>
          <w:tcPr>
            <w:tcW w:type="dxa" w:w="5560"/>
          </w:tcPr>
          <w:p>
            <w:pPr>
              <w:spacing w:line="276"/>
            </w:pPr>
            <w:r>
              <w:rPr>
                <w:rFonts w:ascii="Times New Roman" w:cs="Times New Roman" w:eastAsia="Times New Roman" w:hAnsi="Times New Roman"/>
                <w:sz w:val="20"/>
                <w:szCs w:val="20"/>
              </w:rPr>
              <w:t xml:space="preserve">Tindak balas kepada penurunan Februari: penambahbaikan kreatif iklan dan pembukaan saluran baharu — kempen TikTok Ads Lead Generation dilancarkan pada Mac 2026</w:t>
            </w:r>
          </w:p>
        </w:tc>
        <w:tc>
          <w:tcPr>
            <w:tcW w:type="dxa" w:w="2200"/>
          </w:tcPr>
          <w:p>
            <w:pPr>
              <w:spacing w:line="276"/>
            </w:pPr>
            <w:r>
              <w:rPr>
                <w:rFonts w:ascii="Times New Roman" w:cs="Times New Roman" w:eastAsia="Times New Roman" w:hAnsi="Times New Roman"/>
                <w:sz w:val="20"/>
                <w:szCs w:val="20"/>
              </w:rPr>
              <w:t xml:space="preserve">Mac 2026</w:t>
            </w:r>
          </w:p>
        </w:tc>
      </w:tr>
      <w:tr>
        <w:tc>
          <w:tcPr>
            <w:tcW w:type="dxa" w:w="1600"/>
          </w:tcPr>
          <w:p>
            <w:pPr>
              <w:spacing w:line="276"/>
            </w:pPr>
            <w:r>
              <w:rPr>
                <w:rFonts w:ascii="Times New Roman" w:cs="Times New Roman" w:eastAsia="Times New Roman" w:hAnsi="Times New Roman"/>
                <w:sz w:val="20"/>
                <w:szCs w:val="20"/>
              </w:rPr>
              <w:t xml:space="preserve">Act (Bertindak) — Kitaran 2</w:t>
            </w:r>
          </w:p>
        </w:tc>
        <w:tc>
          <w:tcPr>
            <w:tcW w:type="dxa" w:w="5560"/>
          </w:tcPr>
          <w:p>
            <w:pPr>
              <w:spacing w:line="276"/>
            </w:pPr>
            <w:r>
              <w:rPr>
                <w:rFonts w:ascii="Times New Roman" w:cs="Times New Roman" w:eastAsia="Times New Roman" w:hAnsi="Times New Roman"/>
                <w:sz w:val="20"/>
                <w:szCs w:val="20"/>
              </w:rPr>
              <w:t xml:space="preserve">Pengagihan semula belanjawan berdasarkan prestasi: peruntukan dialihkan kepada TikTok Ads yang menunjukkan pertumbuhan konsisten, manakala Meta Ads dikurangkan selepas prestasi menurun pada Mei–Jun 2026</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Dua kitaran "Act" yang direkodkan dalam Jadual 2.3 menunjukkan pendekatan PDCA diamalkan secara sebenar dan bukan sekadar teori. Keputusan melancarkan TikTok Ads pada Mac 2026 adalah tindak balas langsung kepada data prestasi Februari, dan keputusan tersebut kemudiannya terbukti tepat apabila TikTok menjadi sumber prospek utama menjelang Mei–Jun 2026.</w:t>
      </w:r>
    </w:p>
    <w:p>
      <w:pPr>
        <w:spacing w:after="120" w:before="360" w:line="360" w:lineRule="auto"/>
      </w:pPr>
      <w:r>
        <w:rPr>
          <w:rFonts w:ascii="Times New Roman" w:cs="Times New Roman" w:eastAsia="Times New Roman" w:hAnsi="Times New Roman"/>
          <w:b/>
          <w:bCs/>
          <w:sz w:val="24"/>
          <w:szCs w:val="24"/>
          <w:u w:val="single"/>
        </w:rPr>
        <w:t xml:space="preserve">2.4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Analitik Platform (Data Kuantitatif)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2.4: Sumber Analitik Platform dan Data yang Dikumpulkan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Sumber Analitik</w:t>
            </w:r>
          </w:p>
        </w:tc>
        <w:tc>
          <w:tcPr>
            <w:tcW w:type="dxa" w:w="49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600"/>
          </w:tcPr>
          <w:p>
            <w:pPr>
              <w:spacing w:line="276"/>
            </w:pPr>
            <w:r>
              <w:rPr>
                <w:rFonts w:ascii="Times New Roman" w:cs="Times New Roman" w:eastAsia="Times New Roman" w:hAnsi="Times New Roman"/>
                <w:sz w:val="20"/>
                <w:szCs w:val="20"/>
              </w:rPr>
              <w:t xml:space="preserve">TikTok (Organik)</w:t>
            </w:r>
          </w:p>
        </w:tc>
        <w:tc>
          <w:tcPr>
            <w:tcW w:type="dxa" w:w="2800"/>
          </w:tcPr>
          <w:p>
            <w:pPr>
              <w:spacing w:line="276"/>
            </w:pPr>
            <w:r>
              <w:rPr>
                <w:rFonts w:ascii="Times New Roman" w:cs="Times New Roman" w:eastAsia="Times New Roman" w:hAnsi="Times New Roman"/>
                <w:sz w:val="20"/>
                <w:szCs w:val="20"/>
              </w:rPr>
              <w:t xml:space="preserve">TikTok Analytics (Business Account)</w:t>
            </w:r>
          </w:p>
        </w:tc>
        <w:tc>
          <w:tcPr>
            <w:tcW w:type="dxa" w:w="4960"/>
          </w:tcPr>
          <w:p>
            <w:pPr>
              <w:spacing w:line="276"/>
            </w:pPr>
            <w:r>
              <w:rPr>
                <w:rFonts w:ascii="Times New Roman" w:cs="Times New Roman" w:eastAsia="Times New Roman" w:hAnsi="Times New Roman"/>
                <w:sz w:val="20"/>
                <w:szCs w:val="20"/>
              </w:rPr>
              <w:t xml:space="preserve">Tontonan video, jangkauan audiens, paparan profil, pengikut, likes, pecahan organik vs berbayar</w:t>
            </w:r>
          </w:p>
        </w:tc>
      </w:tr>
      <w:tr>
        <w:tc>
          <w:tcPr>
            <w:tcW w:type="dxa" w:w="1600"/>
          </w:tcPr>
          <w:p>
            <w:pPr>
              <w:spacing w:line="276"/>
            </w:pPr>
            <w:r>
              <w:rPr>
                <w:rFonts w:ascii="Times New Roman" w:cs="Times New Roman" w:eastAsia="Times New Roman" w:hAnsi="Times New Roman"/>
                <w:sz w:val="20"/>
                <w:szCs w:val="20"/>
              </w:rPr>
              <w:t xml:space="preserve">TikTok Ads</w:t>
            </w:r>
          </w:p>
        </w:tc>
        <w:tc>
          <w:tcPr>
            <w:tcW w:type="dxa" w:w="2800"/>
          </w:tcPr>
          <w:p>
            <w:pPr>
              <w:spacing w:line="276"/>
            </w:pPr>
            <w:r>
              <w:rPr>
                <w:rFonts w:ascii="Times New Roman" w:cs="Times New Roman" w:eastAsia="Times New Roman" w:hAnsi="Times New Roman"/>
                <w:sz w:val="20"/>
                <w:szCs w:val="20"/>
              </w:rPr>
              <w:t xml:space="preserve">TikTok Ads Manager</w:t>
            </w:r>
          </w:p>
        </w:tc>
        <w:tc>
          <w:tcPr>
            <w:tcW w:type="dxa" w:w="4960"/>
          </w:tcPr>
          <w:p>
            <w:pPr>
              <w:spacing w:line="276"/>
            </w:pPr>
            <w:r>
              <w:rPr>
                <w:rFonts w:ascii="Times New Roman" w:cs="Times New Roman" w:eastAsia="Times New Roman" w:hAnsi="Times New Roman"/>
                <w:sz w:val="20"/>
                <w:szCs w:val="20"/>
              </w:rPr>
              <w:t xml:space="preserve">Perbelanjaan, tayangan, bilangan prospek daripada borang Lead Generation</w:t>
            </w:r>
          </w:p>
        </w:tc>
      </w:tr>
      <w:tr>
        <w:tc>
          <w:tcPr>
            <w:tcW w:type="dxa" w:w="1600"/>
          </w:tcPr>
          <w:p>
            <w:pPr>
              <w:spacing w:line="276"/>
            </w:pPr>
            <w:r>
              <w:rPr>
                <w:rFonts w:ascii="Times New Roman" w:cs="Times New Roman" w:eastAsia="Times New Roman" w:hAnsi="Times New Roman"/>
                <w:sz w:val="20"/>
                <w:szCs w:val="20"/>
              </w:rPr>
              <w:t xml:space="preserve">Instagram</w:t>
            </w:r>
          </w:p>
        </w:tc>
        <w:tc>
          <w:tcPr>
            <w:tcW w:type="dxa" w:w="2800"/>
          </w:tcPr>
          <w:p>
            <w:pPr>
              <w:spacing w:line="276"/>
            </w:pPr>
            <w:r>
              <w:rPr>
                <w:rFonts w:ascii="Times New Roman" w:cs="Times New Roman" w:eastAsia="Times New Roman" w:hAnsi="Times New Roman"/>
                <w:sz w:val="20"/>
                <w:szCs w:val="20"/>
              </w:rPr>
              <w:t xml:space="preserve">Meta Business Suite → Instagram Insights</w:t>
            </w:r>
          </w:p>
        </w:tc>
        <w:tc>
          <w:tcPr>
            <w:tcW w:type="dxa" w:w="4960"/>
          </w:tcPr>
          <w:p>
            <w:pPr>
              <w:spacing w:line="276"/>
            </w:pPr>
            <w:r>
              <w:rPr>
                <w:rFonts w:ascii="Times New Roman" w:cs="Times New Roman" w:eastAsia="Times New Roman" w:hAnsi="Times New Roman"/>
                <w:sz w:val="20"/>
                <w:szCs w:val="20"/>
              </w:rPr>
              <w:t xml:space="preserve">Jangkauan, kunjungan profil, klik pautan bio, simpanan, pengikut</w:t>
            </w:r>
          </w:p>
        </w:tc>
      </w:tr>
      <w:tr>
        <w:tc>
          <w:tcPr>
            <w:tcW w:type="dxa" w:w="1600"/>
          </w:tcPr>
          <w:p>
            <w:pPr>
              <w:spacing w:line="276"/>
            </w:pPr>
            <w:r>
              <w:rPr>
                <w:rFonts w:ascii="Times New Roman" w:cs="Times New Roman" w:eastAsia="Times New Roman" w:hAnsi="Times New Roman"/>
                <w:sz w:val="20"/>
                <w:szCs w:val="20"/>
              </w:rPr>
              <w:t xml:space="preserve">Facebook</w:t>
            </w:r>
          </w:p>
        </w:tc>
        <w:tc>
          <w:tcPr>
            <w:tcW w:type="dxa" w:w="2800"/>
          </w:tcPr>
          <w:p>
            <w:pPr>
              <w:spacing w:line="276"/>
            </w:pPr>
            <w:r>
              <w:rPr>
                <w:rFonts w:ascii="Times New Roman" w:cs="Times New Roman" w:eastAsia="Times New Roman" w:hAnsi="Times New Roman"/>
                <w:sz w:val="20"/>
                <w:szCs w:val="20"/>
              </w:rPr>
              <w:t xml:space="preserve">Meta Business Suite (penempatan iklan)</w:t>
            </w:r>
          </w:p>
        </w:tc>
        <w:tc>
          <w:tcPr>
            <w:tcW w:type="dxa" w:w="4960"/>
          </w:tcPr>
          <w:p>
            <w:pPr>
              <w:spacing w:line="276"/>
            </w:pPr>
            <w:r>
              <w:rPr>
                <w:rFonts w:ascii="Times New Roman" w:cs="Times New Roman" w:eastAsia="Times New Roman" w:hAnsi="Times New Roman"/>
                <w:sz w:val="20"/>
                <w:szCs w:val="20"/>
              </w:rPr>
              <w:t xml:space="preserve">Digunakan sebagai penempatan Meta Ads; metrik organik halaman tidak dikumpulkan</w:t>
            </w:r>
          </w:p>
        </w:tc>
      </w:tr>
      <w:tr>
        <w:tc>
          <w:tcPr>
            <w:tcW w:type="dxa" w:w="1600"/>
          </w:tcPr>
          <w:p>
            <w:pPr>
              <w:spacing w:line="276"/>
            </w:pPr>
            <w:r>
              <w:rPr>
                <w:rFonts w:ascii="Times New Roman" w:cs="Times New Roman" w:eastAsia="Times New Roman" w:hAnsi="Times New Roman"/>
                <w:sz w:val="20"/>
                <w:szCs w:val="20"/>
              </w:rPr>
              <w:t xml:space="preserve">Meta Ads</w:t>
            </w:r>
          </w:p>
        </w:tc>
        <w:tc>
          <w:tcPr>
            <w:tcW w:type="dxa" w:w="2800"/>
          </w:tcPr>
          <w:p>
            <w:pPr>
              <w:spacing w:line="276"/>
            </w:pPr>
            <w:r>
              <w:rPr>
                <w:rFonts w:ascii="Times New Roman" w:cs="Times New Roman" w:eastAsia="Times New Roman" w:hAnsi="Times New Roman"/>
                <w:sz w:val="20"/>
                <w:szCs w:val="20"/>
              </w:rPr>
              <w:t xml:space="preserve">Meta Ads Manager → Campaigns Report</w:t>
            </w:r>
          </w:p>
        </w:tc>
        <w:tc>
          <w:tcPr>
            <w:tcW w:type="dxa" w:w="4960"/>
          </w:tcPr>
          <w:p>
            <w:pPr>
              <w:spacing w:line="276"/>
            </w:pPr>
            <w:r>
              <w:rPr>
                <w:rFonts w:ascii="Times New Roman" w:cs="Times New Roman" w:eastAsia="Times New Roman" w:hAnsi="Times New Roman"/>
                <w:sz w:val="20"/>
                <w:szCs w:val="20"/>
              </w:rPr>
              <w:t xml:space="preserve">Perbelanjaan, jangkauan iklan, CTR, CPC, bilangan prospek, CPL</w:t>
            </w:r>
          </w:p>
        </w:tc>
      </w:tr>
      <w:tr>
        <w:tc>
          <w:tcPr>
            <w:tcW w:type="dxa" w:w="1600"/>
          </w:tcPr>
          <w:p>
            <w:pPr>
              <w:spacing w:line="276"/>
            </w:pPr>
            <w:r>
              <w:rPr>
                <w:rFonts w:ascii="Times New Roman" w:cs="Times New Roman" w:eastAsia="Times New Roman" w:hAnsi="Times New Roman"/>
                <w:sz w:val="20"/>
                <w:szCs w:val="20"/>
              </w:rPr>
              <w:t xml:space="preserve">Google</w:t>
            </w:r>
          </w:p>
        </w:tc>
        <w:tc>
          <w:tcPr>
            <w:tcW w:type="dxa" w:w="2800"/>
          </w:tcPr>
          <w:p>
            <w:pPr>
              <w:spacing w:line="276"/>
            </w:pPr>
            <w:r>
              <w:rPr>
                <w:rFonts w:ascii="Times New Roman" w:cs="Times New Roman" w:eastAsia="Times New Roman" w:hAnsi="Times New Roman"/>
                <w:sz w:val="20"/>
                <w:szCs w:val="20"/>
              </w:rPr>
              <w:t xml:space="preserve">Google Search Console</w:t>
            </w:r>
          </w:p>
        </w:tc>
        <w:tc>
          <w:tcPr>
            <w:tcW w:type="dxa" w:w="4960"/>
          </w:tcPr>
          <w:p>
            <w:pPr>
              <w:spacing w:line="276"/>
            </w:pPr>
            <w:r>
              <w:rPr>
                <w:rFonts w:ascii="Times New Roman" w:cs="Times New Roman" w:eastAsia="Times New Roman" w:hAnsi="Times New Roman"/>
                <w:sz w:val="20"/>
                <w:szCs w:val="20"/>
              </w:rPr>
              <w:t xml:space="preserve">Klik organik, tayangan, CTR, kedudukan kata kunci, halaman teratas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Data Prospek dalam Talian daripada CRM (Data Kuantitatif)</w:t>
      </w:r>
    </w:p>
    <w:p>
      <w:pPr>
        <w:spacing w:after="240" w:before="0" w:line="360" w:lineRule="auto"/>
      </w:pPr>
      <w:r>
        <w:rPr>
          <w:rFonts w:ascii="Times New Roman" w:cs="Times New Roman" w:eastAsia="Times New Roman" w:hAnsi="Times New Roman"/>
          <w:sz w:val="24"/>
          <w:szCs w:val="24"/>
        </w:rPr>
        <w:t xml:space="preserve">Kempen Meta Ads dan TikTok Ads kedua-duanya dikonfigurasikan dengan borang Lead Generation (borang prospek dalam talian) yang menjana rekod prospek secara automatik apabila bakal pelajar mengisi borang terus daripada iklan. Data prospek — nama, nombor telefon, kursus diminati, negeri asal dan sumber iklan — direkodkan ke dalam Sistem Pengurusan Hubungan Pelanggan (CRM) TVET Lipis. Ini membolehkan pengesanan sumber setiap prospek secara tepat dan automatik, di samping menjejaki pergerakan setiap prospek melalui peringkat corong pemasaran (Lead → Contacted → Potential → Customer).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Sistem CRM TVET Lipis dibangunkan secara dalaman menggunakan React dan Supabase (PostgreSQL), dan berfungsi sebagai pangkalan data tunggal bagi semua prospek institusi. Bagi tujuan LPKT ini, data diekstrak daripada jadual leads yang mengandungi 6,056 rekod keseluruhan, ditapis kepada 3,470 rekod yang bertarikh Januari hingga Jun 2026 dengan sumber Meta Ads atau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kandungan yang diterbitkan menggunakan Senarai Semak Kualiti Kandungan, membolehkan pengenalpastian jenis kandungan yang menghasilkan penglibatan tertinggi berbanding kandungan yang kurang berkesan.</w:t>
      </w:r>
    </w:p>
    <w:p>
      <w:pPr>
        <w:spacing w:after="120" w:before="360" w:line="360" w:lineRule="auto"/>
      </w:pPr>
      <w:r>
        <w:rPr>
          <w:rFonts w:ascii="Times New Roman" w:cs="Times New Roman" w:eastAsia="Times New Roman" w:hAnsi="Times New Roman"/>
          <w:b/>
          <w:bCs/>
          <w:sz w:val="24"/>
          <w:szCs w:val="24"/>
          <w:u w:val="single"/>
        </w:rPr>
        <w:t xml:space="preserve">2.5  Instrumen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40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Kekerapan</w:t>
            </w:r>
          </w:p>
        </w:tc>
      </w:tr>
      <w:tr>
        <w:tc>
          <w:tcPr>
            <w:tcW w:type="dxa" w:w="2600"/>
          </w:tcPr>
          <w:p>
            <w:pPr>
              <w:spacing w:line="276"/>
            </w:pPr>
            <w:r>
              <w:rPr>
                <w:rFonts w:ascii="Times New Roman" w:cs="Times New Roman" w:eastAsia="Times New Roman" w:hAnsi="Times New Roman"/>
                <w:sz w:val="20"/>
                <w:szCs w:val="20"/>
              </w:rPr>
              <w:t xml:space="preserve">Kalendar Kandungan Bulanan</w:t>
            </w:r>
          </w:p>
        </w:tc>
        <w:tc>
          <w:tcPr>
            <w:tcW w:type="dxa" w:w="4000"/>
          </w:tcPr>
          <w:p>
            <w:pPr>
              <w:spacing w:line="276"/>
            </w:pPr>
            <w:r>
              <w:rPr>
                <w:rFonts w:ascii="Times New Roman" w:cs="Times New Roman" w:eastAsia="Times New Roman" w:hAnsi="Times New Roman"/>
                <w:sz w:val="20"/>
                <w:szCs w:val="20"/>
              </w:rPr>
              <w:t xml:space="preserve">Perancangan dan penjadualan kandungan organik merentas TikTok, Instagram dan Facebook</w:t>
            </w:r>
          </w:p>
        </w:tc>
        <w:tc>
          <w:tcPr>
            <w:tcW w:type="dxa" w:w="2760"/>
          </w:tcPr>
          <w:p>
            <w:pPr>
              <w:spacing w:line="276"/>
            </w:pPr>
            <w:r>
              <w:rPr>
                <w:rFonts w:ascii="Times New Roman" w:cs="Times New Roman" w:eastAsia="Times New Roman" w:hAnsi="Times New Roman"/>
                <w:sz w:val="20"/>
                <w:szCs w:val="20"/>
              </w:rPr>
              <w:t xml:space="preserve">Bulanan (awal bulan)</w:t>
            </w:r>
          </w:p>
        </w:tc>
      </w:tr>
      <w:tr>
        <w:tc>
          <w:tcPr>
            <w:tcW w:type="dxa" w:w="2600"/>
          </w:tcPr>
          <w:p>
            <w:pPr>
              <w:spacing w:line="276"/>
            </w:pPr>
            <w:r>
              <w:rPr>
                <w:rFonts w:ascii="Times New Roman" w:cs="Times New Roman" w:eastAsia="Times New Roman" w:hAnsi="Times New Roman"/>
                <w:sz w:val="20"/>
                <w:szCs w:val="20"/>
              </w:rPr>
              <w:t xml:space="preserve">Borang Laporan Prestasi</w:t>
            </w:r>
          </w:p>
        </w:tc>
        <w:tc>
          <w:tcPr>
            <w:tcW w:type="dxa" w:w="4000"/>
          </w:tcPr>
          <w:p>
            <w:pPr>
              <w:spacing w:line="276"/>
            </w:pPr>
            <w:r>
              <w:rPr>
                <w:rFonts w:ascii="Times New Roman" w:cs="Times New Roman" w:eastAsia="Times New Roman" w:hAnsi="Times New Roman"/>
                <w:sz w:val="20"/>
                <w:szCs w:val="20"/>
              </w:rPr>
              <w:t xml:space="preserve">Rekod metrik utama untuk semua platform bagi tujuan pemantauan trend</w:t>
            </w:r>
          </w:p>
        </w:tc>
        <w:tc>
          <w:tcPr>
            <w:tcW w:type="dxa" w:w="2760"/>
          </w:tcPr>
          <w:p>
            <w:pPr>
              <w:spacing w:line="276"/>
            </w:pPr>
            <w:r>
              <w:rPr>
                <w:rFonts w:ascii="Times New Roman" w:cs="Times New Roman" w:eastAsia="Times New Roman" w:hAnsi="Times New Roman"/>
                <w:sz w:val="20"/>
                <w:szCs w:val="20"/>
              </w:rPr>
              <w:t xml:space="preserve">Mingguan / Bulanan</w:t>
            </w:r>
          </w:p>
        </w:tc>
      </w:tr>
      <w:tr>
        <w:tc>
          <w:tcPr>
            <w:tcW w:type="dxa" w:w="2600"/>
          </w:tcPr>
          <w:p>
            <w:pPr>
              <w:spacing w:line="276"/>
            </w:pPr>
            <w:r>
              <w:rPr>
                <w:rFonts w:ascii="Times New Roman" w:cs="Times New Roman" w:eastAsia="Times New Roman" w:hAnsi="Times New Roman"/>
                <w:sz w:val="20"/>
                <w:szCs w:val="20"/>
              </w:rPr>
              <w:t xml:space="preserve">Dashboard CRM TVET Lipis</w:t>
            </w:r>
          </w:p>
        </w:tc>
        <w:tc>
          <w:tcPr>
            <w:tcW w:type="dxa" w:w="4000"/>
          </w:tcPr>
          <w:p>
            <w:pPr>
              <w:spacing w:line="276"/>
            </w:pPr>
            <w:r>
              <w:rPr>
                <w:rFonts w:ascii="Times New Roman" w:cs="Times New Roman" w:eastAsia="Times New Roman" w:hAnsi="Times New Roman"/>
                <w:sz w:val="20"/>
                <w:szCs w:val="20"/>
              </w:rPr>
              <w:t xml:space="preserve">Paparan dan pengesanan prospek mengikut sumber, kursus, negeri dan peringkat corong</w:t>
            </w:r>
          </w:p>
        </w:tc>
        <w:tc>
          <w:tcPr>
            <w:tcW w:type="dxa" w:w="2760"/>
          </w:tcPr>
          <w:p>
            <w:pPr>
              <w:spacing w:line="276"/>
            </w:pPr>
            <w:r>
              <w:rPr>
                <w:rFonts w:ascii="Times New Roman" w:cs="Times New Roman" w:eastAsia="Times New Roman" w:hAnsi="Times New Roman"/>
                <w:sz w:val="20"/>
                <w:szCs w:val="20"/>
              </w:rPr>
              <w:t xml:space="preserve">Berterusan (masa nyata)</w:t>
            </w:r>
          </w:p>
        </w:tc>
      </w:tr>
      <w:tr>
        <w:tc>
          <w:tcPr>
            <w:tcW w:type="dxa" w:w="2600"/>
          </w:tcPr>
          <w:p>
            <w:pPr>
              <w:spacing w:line="276"/>
            </w:pPr>
            <w:r>
              <w:rPr>
                <w:rFonts w:ascii="Times New Roman" w:cs="Times New Roman" w:eastAsia="Times New Roman" w:hAnsi="Times New Roman"/>
                <w:sz w:val="20"/>
                <w:szCs w:val="20"/>
              </w:rPr>
              <w:t xml:space="preserve">Borang Lead Generation (Meta &amp; TikTok)</w:t>
            </w:r>
          </w:p>
        </w:tc>
        <w:tc>
          <w:tcPr>
            <w:tcW w:type="dxa" w:w="4000"/>
          </w:tcPr>
          <w:p>
            <w:pPr>
              <w:spacing w:line="276"/>
            </w:pPr>
            <w:r>
              <w:rPr>
                <w:rFonts w:ascii="Times New Roman" w:cs="Times New Roman" w:eastAsia="Times New Roman" w:hAnsi="Times New Roman"/>
                <w:sz w:val="20"/>
                <w:szCs w:val="20"/>
              </w:rPr>
              <w:t xml:space="preserve">Instrumen pengumpulan data prospek: nama, telefon, kursus diminati, negeri, umur</w:t>
            </w:r>
          </w:p>
        </w:tc>
        <w:tc>
          <w:tcPr>
            <w:tcW w:type="dxa" w:w="2760"/>
          </w:tcPr>
          <w:p>
            <w:pPr>
              <w:spacing w:line="276"/>
            </w:pPr>
            <w:r>
              <w:rPr>
                <w:rFonts w:ascii="Times New Roman" w:cs="Times New Roman" w:eastAsia="Times New Roman" w:hAnsi="Times New Roman"/>
                <w:sz w:val="20"/>
                <w:szCs w:val="20"/>
              </w:rPr>
              <w:t xml:space="preserve">Setiap prospek</w:t>
            </w:r>
          </w:p>
        </w:tc>
      </w:tr>
      <w:tr>
        <w:tc>
          <w:tcPr>
            <w:tcW w:type="dxa" w:w="2600"/>
          </w:tcPr>
          <w:p>
            <w:pPr>
              <w:spacing w:line="276"/>
            </w:pPr>
            <w:r>
              <w:rPr>
                <w:rFonts w:ascii="Times New Roman" w:cs="Times New Roman" w:eastAsia="Times New Roman" w:hAnsi="Times New Roman"/>
                <w:sz w:val="20"/>
                <w:szCs w:val="20"/>
              </w:rPr>
              <w:t xml:space="preserve">Senarai Semak Kualiti Kandungan</w:t>
            </w:r>
          </w:p>
        </w:tc>
        <w:tc>
          <w:tcPr>
            <w:tcW w:type="dxa" w:w="4000"/>
          </w:tcPr>
          <w:p>
            <w:pPr>
              <w:spacing w:line="276"/>
            </w:pPr>
            <w:r>
              <w:rPr>
                <w:rFonts w:ascii="Times New Roman" w:cs="Times New Roman" w:eastAsia="Times New Roman" w:hAnsi="Times New Roman"/>
                <w:sz w:val="20"/>
                <w:szCs w:val="20"/>
              </w:rPr>
              <w:t xml:space="preserve">Penilaian kualiti dan kesesuaian kandungan sebelum diterbitkan</w:t>
            </w:r>
          </w:p>
        </w:tc>
        <w:tc>
          <w:tcPr>
            <w:tcW w:type="dxa" w:w="2760"/>
          </w:tcPr>
          <w:p>
            <w:pPr>
              <w:spacing w:line="276"/>
            </w:pPr>
            <w:r>
              <w:rPr>
                <w:rFonts w:ascii="Times New Roman" w:cs="Times New Roman" w:eastAsia="Times New Roman" w:hAnsi="Times New Roman"/>
                <w:sz w:val="20"/>
                <w:szCs w:val="20"/>
              </w:rPr>
              <w:t xml:space="preserve">Setiap siaran</w:t>
            </w:r>
          </w:p>
        </w:tc>
      </w:tr>
      <w:tr>
        <w:tc>
          <w:tcPr>
            <w:tcW w:type="dxa" w:w="2600"/>
          </w:tcPr>
          <w:p>
            <w:pPr>
              <w:spacing w:line="276"/>
            </w:pPr>
            <w:r>
              <w:rPr>
                <w:rFonts w:ascii="Times New Roman" w:cs="Times New Roman" w:eastAsia="Times New Roman" w:hAnsi="Times New Roman"/>
                <w:sz w:val="20"/>
                <w:szCs w:val="20"/>
              </w:rPr>
              <w:t xml:space="preserve">Templat Laporan Bulanan Iklan Berbayar</w:t>
            </w:r>
          </w:p>
        </w:tc>
        <w:tc>
          <w:tcPr>
            <w:tcW w:type="dxa" w:w="4000"/>
          </w:tcPr>
          <w:p>
            <w:pPr>
              <w:spacing w:line="276"/>
            </w:pPr>
            <w:r>
              <w:rPr>
                <w:rFonts w:ascii="Times New Roman" w:cs="Times New Roman" w:eastAsia="Times New Roman" w:hAnsi="Times New Roman"/>
                <w:sz w:val="20"/>
                <w:szCs w:val="20"/>
              </w:rPr>
              <w:t xml:space="preserve">Ringkasan prestasi Meta Ads dan TikTok Ads (perbelanjaan, prospek, CPL)</w:t>
            </w:r>
          </w:p>
        </w:tc>
        <w:tc>
          <w:tcPr>
            <w:tcW w:type="dxa" w:w="27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2.6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(Disember 2025 –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status akaun TikTok, Instagram dan Facebook dari segi bilangan pengikut, kadar penglibatan purata, dan konsistensi penerbitan sebelum kempen bermula. Data audit ini menjadi garis dasar (baseline) perbandingan.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berdasarkan data baseline audit, menggunakan kriteria SMART (Specific, Measurable, Achievable, Relevant, Time-bound).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dibina: Persona A (lepasan SPM 17–19 tahun, pengguna TikTok aktif, mencari program kemahiran dengan pembiayaan PTPK) dan Persona B (ibu bapa/penjaga 35–45 tahun, pengguna Facebook aktif, membuat keputusan bersama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merangkumi tema kempen (program spotlight, testimonial pelajar, maklumat PTPK, kehidupan kampus, motivasi kerjaya), format (TikTok video, Instagram Reels/Stories, Facebook post)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Persediaan Kempen Meta Ads Lead Generation — Borang prospek dalam talian dikonfigurasi dalam Meta Ads Manager dengan soalan kualifikasi (nama, nombor telefon, kursus diminati, negeri asal). Data prospek mengalir terus ke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diluluskan. Format utama: video pendek TikTok (15–60 saat), Instagram Reels, gambar informatif Facebook/Instagram, dan Stories bagi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Pelancaran Kempen Meta Ads — Kempen Lead Generation dilancarkan pada Januari 2026 melalui Meta Ads Manager dengan parameter penyasaran: umur 17–45 tahun, tumpuan kepada Pahang dan negeri berjiran, minat dalam pendidikan, latihan vokasional dan pembangunan kerjaya.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Pelancaran Kempen TikTok Ads — Berikutan penurunan prestasi Meta Ads pada Februari 2026, kempen TikTok Ads Lead Generation dilancarkan pada Mac 2026 sebagai saluran penjanaan prospek kedua, menggunakan struktur borang yang sama dan penambahan medan umur bagi tujuan kualifikasi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Pengurusan Komuniti — Semua komen, DM dan pertanyaan di platform media sosial dijawab dalam masa 24 jam bagi mengekalkan momentum penglibatan.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Data daripada semua platform dan Sistem CRM dianalisis dan dibandingkan dengan KPI yang ditetapkan dalam Fasa 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Pengagihan Semula Belanjawan — Berdasarkan prestasi sebenar, peruntukan iklan dialihkan kepada TikTok Ads yang menunjukkan pertumbuhan prospek konsisten, manakala perbelanjaan Meta Ads dikurangkan.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Analisis Corong CRM — Pergerakan prospek melalui peringkat Lead → Contacted → Potential → Customer dianalisis bagi mengenal pasti titik kebocoran corong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Penyediaan Laporan Akhir — Laporan komprehensif merangkumi dapatan, analisis dan cadangan penambahbaikan disediakan.</w:t>
      </w:r>
    </w:p>
    <w:p>
      <w:pPr>
        <w:spacing w:after="120" w:before="360" w:line="360" w:lineRule="auto"/>
      </w:pPr>
      <w:r>
        <w:rPr>
          <w:rFonts w:ascii="Times New Roman" w:cs="Times New Roman" w:eastAsia="Times New Roman" w:hAnsi="Times New Roman"/>
          <w:b/>
          <w:bCs/>
          <w:sz w:val="24"/>
          <w:szCs w:val="24"/>
          <w:u w:val="single"/>
        </w:rPr>
        <w:t xml:space="preserve">2.7  Analisis Data</w:t>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dari bulan ke bulan untuk mengenal pasti corak pertumbuhan dan tempoh kemuncak.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Baseline (sebelum kempen) vs dapatan kempen.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 Jumlah Perbelanjaan ÷ Bilangan Prospek, dan perbandingan CPL antara set iklan berbeza.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kandungan organik teratas berdasarkan kadar penglibatan untuk memahami jenis kandungan paling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Analisis Pencapaian KPI — </w:t>
      </w:r>
      <w:r>
        <w:rPr>
          <w:rFonts w:ascii="Times New Roman" w:cs="Times New Roman" w:eastAsia="Times New Roman" w:hAnsi="Times New Roman"/>
          <w:sz w:val="24"/>
          <w:szCs w:val="24"/>
        </w:rPr>
        <w:t xml:space="preserve">Setiap objektif dinilai sama ada DICAPAI, DICAPAI SEBAHAGIAN atau TIDAK DICAPAI berdasarkan data sebenar berbanding sasaran yang ditetapkan.</w:t>
      </w:r>
    </w:p>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membentangkan penemuan kempen pemasaran media sosial bersepadu TVET Lipis sepanjang Januari hingga Jun 2026. Data dibentangkan mengikut platform, diikuti analisis menyeluruh penjanaan prospek melalui CRM, dan penilaian pencapaian berbanding objektif yang ditetapkan.</w:t>
      </w:r>
    </w:p>
    <w:p>
      <w:pPr>
        <w:spacing w:after="120" w:before="360" w:line="360" w:lineRule="auto"/>
      </w:pPr>
      <w:r>
        <w:rPr>
          <w:rFonts w:ascii="Times New Roman" w:cs="Times New Roman" w:eastAsia="Times New Roman" w:hAnsi="Times New Roman"/>
          <w:b/>
          <w:bCs/>
          <w:sz w:val="24"/>
          <w:szCs w:val="24"/>
          <w:u w:val="single"/>
        </w:rPr>
        <w:t xml:space="preserve">3.2  Ringkasan Pelaksanaan Kempen</w:t>
      </w:r>
    </w:p>
    <w:p>
      <w:pPr>
        <w:spacing w:after="240" w:before="0" w:line="360" w:lineRule="auto"/>
      </w:pPr>
      <w:r>
        <w:rPr>
          <w:rFonts w:ascii="Times New Roman" w:cs="Times New Roman" w:eastAsia="Times New Roman" w:hAnsi="Times New Roman"/>
          <w:sz w:val="24"/>
          <w:szCs w:val="24"/>
        </w:rPr>
        <w:t xml:space="preserve">Jadual 3.1 meringkaskan semua aktiviti kempen yang telah dilaksanakan sepanjang tempoh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 Ringkasan Pelaksanaan Kempen Media Sosial TVET Lipis (Jan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Platform / Saluran</w:t>
            </w:r>
          </w:p>
        </w:tc>
        <w:tc>
          <w:tcPr>
            <w:tcW w:type="dxa" w:w="4800"/>
            <w:shd w:fill="D9D9D9" w:color="D9D9D9" w:val="clear"/>
          </w:tcPr>
          <w:p>
            <w:pPr>
              <w:spacing w:line="276"/>
            </w:pPr>
            <w:r>
              <w:rPr>
                <w:rFonts w:ascii="Times New Roman" w:cs="Times New Roman" w:eastAsia="Times New Roman" w:hAnsi="Times New Roman"/>
                <w:b/>
                <w:bCs/>
                <w:sz w:val="20"/>
                <w:szCs w:val="20"/>
              </w:rPr>
              <w:t xml:space="preserve">Aktiviti yang Dilaksanakan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Bilangan / Tempoh</w:t>
            </w:r>
          </w:p>
        </w:tc>
      </w:tr>
      <w:tr>
        <w:tc>
          <w:tcPr>
            <w:tcW w:type="dxa" w:w="2200"/>
          </w:tcPr>
          <w:p>
            <w:pPr>
              <w:spacing w:line="276"/>
            </w:pPr>
            <w:r>
              <w:rPr>
                <w:rFonts w:ascii="Times New Roman" w:cs="Times New Roman" w:eastAsia="Times New Roman" w:hAnsi="Times New Roman"/>
                <w:sz w:val="20"/>
                <w:szCs w:val="20"/>
              </w:rPr>
              <w:t xml:space="preserve">TikTok (Organik)</w:t>
            </w:r>
          </w:p>
        </w:tc>
        <w:tc>
          <w:tcPr>
            <w:tcW w:type="dxa" w:w="4800"/>
          </w:tcPr>
          <w:p>
            <w:pPr>
              <w:spacing w:line="276"/>
            </w:pPr>
            <w:r>
              <w:rPr>
                <w:rFonts w:ascii="Times New Roman" w:cs="Times New Roman" w:eastAsia="Times New Roman" w:hAnsi="Times New Roman"/>
                <w:sz w:val="20"/>
                <w:szCs w:val="20"/>
              </w:rPr>
              <w:t xml:space="preserve">Video pendek (15–60 saat): testimonial pelajar, program spotlight, maklumat PTPK</w:t>
            </w:r>
          </w:p>
        </w:tc>
        <w:tc>
          <w:tcPr>
            <w:tcW w:type="dxa" w:w="2360"/>
          </w:tcPr>
          <w:p>
            <w:pPr>
              <w:spacing w:line="276"/>
            </w:pPr>
            <w:r>
              <w:rPr>
                <w:rFonts w:ascii="Times New Roman" w:cs="Times New Roman" w:eastAsia="Times New Roman" w:hAnsi="Times New Roman"/>
                <w:sz w:val="20"/>
                <w:szCs w:val="20"/>
              </w:rPr>
              <w:t xml:space="preserve">⚠️ ISI BILANGAN VIDEO</w:t>
            </w:r>
          </w:p>
        </w:tc>
      </w:tr>
      <w:tr>
        <w:tc>
          <w:tcPr>
            <w:tcW w:type="dxa" w:w="2200"/>
          </w:tcPr>
          <w:p>
            <w:pPr>
              <w:spacing w:line="276"/>
            </w:pPr>
            <w:r>
              <w:rPr>
                <w:rFonts w:ascii="Times New Roman" w:cs="Times New Roman" w:eastAsia="Times New Roman" w:hAnsi="Times New Roman"/>
                <w:sz w:val="20"/>
                <w:szCs w:val="20"/>
              </w:rPr>
              <w:t xml:space="preserve">TikTok Ads (Berbayar)</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Mac – Jun 2026</w:t>
            </w:r>
          </w:p>
        </w:tc>
      </w:tr>
      <w:tr>
        <w:tc>
          <w:tcPr>
            <w:tcW w:type="dxa" w:w="2200"/>
          </w:tcPr>
          <w:p>
            <w:pPr>
              <w:spacing w:line="276"/>
            </w:pPr>
            <w:r>
              <w:rPr>
                <w:rFonts w:ascii="Times New Roman" w:cs="Times New Roman" w:eastAsia="Times New Roman" w:hAnsi="Times New Roman"/>
                <w:sz w:val="20"/>
                <w:szCs w:val="20"/>
              </w:rPr>
              <w:t xml:space="preserve">Instagram (Organik)</w:t>
            </w:r>
          </w:p>
        </w:tc>
        <w:tc>
          <w:tcPr>
            <w:tcW w:type="dxa" w:w="4800"/>
          </w:tcPr>
          <w:p>
            <w:pPr>
              <w:spacing w:line="276"/>
            </w:pPr>
            <w:r>
              <w:rPr>
                <w:rFonts w:ascii="Times New Roman" w:cs="Times New Roman" w:eastAsia="Times New Roman" w:hAnsi="Times New Roman"/>
                <w:sz w:val="20"/>
                <w:szCs w:val="20"/>
              </w:rPr>
              <w:t xml:space="preserve">Reels, Feed Posts, Stories: gambar informatif, carousel program, promosi terus</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Facebook (Organik)</w:t>
            </w:r>
          </w:p>
        </w:tc>
        <w:tc>
          <w:tcPr>
            <w:tcW w:type="dxa" w:w="4800"/>
          </w:tcPr>
          <w:p>
            <w:pPr>
              <w:spacing w:line="276"/>
            </w:pPr>
            <w:r>
              <w:rPr>
                <w:rFonts w:ascii="Times New Roman" w:cs="Times New Roman" w:eastAsia="Times New Roman" w:hAnsi="Times New Roman"/>
                <w:sz w:val="20"/>
                <w:szCs w:val="20"/>
              </w:rPr>
              <w:t xml:space="preserve">Kandungan video dan gambar diterbitkan semula daripada TikTok/Instagram sebagai saluran sokongan</w:t>
            </w:r>
          </w:p>
        </w:tc>
        <w:tc>
          <w:tcPr>
            <w:tcW w:type="dxa" w:w="2360"/>
          </w:tcPr>
          <w:p>
            <w:pPr>
              <w:spacing w:line="276"/>
            </w:pPr>
            <w:r>
              <w:rPr>
                <w:rFonts w:ascii="Times New Roman" w:cs="Times New Roman" w:eastAsia="Times New Roman" w:hAnsi="Times New Roman"/>
                <w:sz w:val="20"/>
                <w:szCs w:val="20"/>
              </w:rPr>
              <w:t xml:space="preserve">Metrik tidak dikumpulkan</w:t>
            </w:r>
          </w:p>
        </w:tc>
      </w:tr>
      <w:tr>
        <w:tc>
          <w:tcPr>
            <w:tcW w:type="dxa" w:w="2200"/>
          </w:tcPr>
          <w:p>
            <w:pPr>
              <w:spacing w:line="276"/>
            </w:pPr>
            <w:r>
              <w:rPr>
                <w:rFonts w:ascii="Times New Roman" w:cs="Times New Roman" w:eastAsia="Times New Roman" w:hAnsi="Times New Roman"/>
                <w:sz w:val="20"/>
                <w:szCs w:val="20"/>
              </w:rPr>
              <w:t xml:space="preserve">Meta Ads (Lead Gen)</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Google (Organik)</w:t>
            </w:r>
          </w:p>
        </w:tc>
        <w:tc>
          <w:tcPr>
            <w:tcW w:type="dxa" w:w="4800"/>
          </w:tcPr>
          <w:p>
            <w:pPr>
              <w:spacing w:line="276"/>
            </w:pPr>
            <w:r>
              <w:rPr>
                <w:rFonts w:ascii="Times New Roman" w:cs="Times New Roman" w:eastAsia="Times New Roman" w:hAnsi="Times New Roman"/>
                <w:sz w:val="20"/>
                <w:szCs w:val="20"/>
              </w:rPr>
              <w:t xml:space="preserve">Carian organik melalui laman web tvetlipis.my (dipantau via Search Console)</w:t>
            </w:r>
          </w:p>
        </w:tc>
        <w:tc>
          <w:tcPr>
            <w:tcW w:type="dxa" w:w="2360"/>
          </w:tcPr>
          <w:p>
            <w:pPr>
              <w:spacing w:line="276"/>
            </w:pPr>
            <w:r>
              <w:rPr>
                <w:rFonts w:ascii="Times New Roman" w:cs="Times New Roman" w:eastAsia="Times New Roman" w:hAnsi="Times New Roman"/>
                <w:sz w:val="20"/>
                <w:szCs w:val="20"/>
              </w:rPr>
              <w:t xml:space="preserve">Jan – Jun 2026</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A: Buka Kalendar Kandungan anda (Google Sheets / Notion / mana-mana app) → Ambil tangkapan skrin yang menunjukkan bulan Januari-Jun 2026 dengan semua entri kandungan (platform, tarikh, tema, format) ]</w:t>
      </w:r>
    </w:p>
    <w:p>
      <w:pPr>
        <w:spacing w:after="120" w:before="360" w:line="360" w:lineRule="auto"/>
      </w:pPr>
      <w:r>
        <w:rPr>
          <w:rFonts w:ascii="Times New Roman" w:cs="Times New Roman" w:eastAsia="Times New Roman" w:hAnsi="Times New Roman"/>
          <w:b/>
          <w:bCs/>
          <w:sz w:val="24"/>
          <w:szCs w:val="24"/>
          <w:u w:val="single"/>
        </w:rPr>
        <w:t xml:space="preserve">3.3  Penemuan Platform TikTok</w:t>
      </w:r>
    </w:p>
    <w:p>
      <w:pPr>
        <w:spacing w:after="240" w:before="0" w:line="360" w:lineRule="auto"/>
      </w:pPr>
      <w:r>
        <w:rPr>
          <w:rFonts w:ascii="Times New Roman" w:cs="Times New Roman" w:eastAsia="Times New Roman" w:hAnsi="Times New Roman"/>
          <w:sz w:val="24"/>
          <w:szCs w:val="24"/>
        </w:rPr>
        <w:t xml:space="preserve">TikTok merupakan platform tumpuan untuk kandungan organik berbentuk video pendek bagi menjangkau bakal pelajar berumur 15-25 tahun. Sepanjang Januari hingga Jun 2026, akaun @tvet_lipis mencatatkan jumlah 2,927,157 tontonan video dengan jangkauan audiens 2,622,406. Bermula Mac 2026, TikTok Ads turut dilancarkan menghasilkan 1,324,018 tontonan berbayar serta 1,134 prospek dalam talian (lihat seksyen 3.7). Akaun @tvet_lipis kini mempunyai 13,800 pengikut dengan 118,500 likes kumulatif. Video tular "Ini adalah peluang kedua anda!" mencatatkan 3,800,000 tontonan - pencapaian luar biasa bagi akaun institusi kemahiran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3.2: Ringkasan Prestasi TikTok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TikTok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 (Jan – Jun 2026)</w:t>
            </w:r>
          </w:p>
        </w:tc>
        <w:tc>
          <w:tcPr>
            <w:tcW w:type="dxa" w:w="348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Tontonan Video (keseluruhan)</w:t>
            </w:r>
          </w:p>
        </w:tc>
        <w:tc>
          <w:tcPr>
            <w:tcW w:type="dxa" w:w="2680"/>
          </w:tcPr>
          <w:p>
            <w:pPr>
              <w:spacing w:line="276"/>
            </w:pPr>
            <w:r>
              <w:rPr>
                <w:rFonts w:ascii="Times New Roman" w:cs="Times New Roman" w:eastAsia="Times New Roman" w:hAnsi="Times New Roman"/>
                <w:sz w:val="20"/>
                <w:szCs w:val="20"/>
              </w:rPr>
              <w:t xml:space="preserve">2,927,157</w:t>
            </w:r>
          </w:p>
        </w:tc>
        <w:tc>
          <w:tcPr>
            <w:tcW w:type="dxa" w:w="3480"/>
          </w:tcPr>
          <w:p>
            <w:pPr>
              <w:spacing w:line="276"/>
            </w:pPr>
            <w:r>
              <w:rPr>
                <w:rFonts w:ascii="Times New Roman" w:cs="Times New Roman" w:eastAsia="Times New Roman" w:hAnsi="Times New Roman"/>
                <w:sz w:val="20"/>
                <w:szCs w:val="20"/>
              </w:rPr>
              <w:t xml:space="preserve">Organik dan berbayar digabungkan</w:t>
            </w:r>
          </w:p>
        </w:tc>
      </w:tr>
      <w:tr>
        <w:tc>
          <w:tcPr>
            <w:tcW w:type="dxa" w:w="3200"/>
          </w:tcPr>
          <w:p>
            <w:pPr>
              <w:spacing w:line="276"/>
            </w:pPr>
            <w:r>
              <w:rPr>
                <w:rFonts w:ascii="Times New Roman" w:cs="Times New Roman" w:eastAsia="Times New Roman" w:hAnsi="Times New Roman"/>
                <w:sz w:val="20"/>
                <w:szCs w:val="20"/>
              </w:rPr>
              <w:t xml:space="preserve">— Tontonan Organik</w:t>
            </w:r>
          </w:p>
        </w:tc>
        <w:tc>
          <w:tcPr>
            <w:tcW w:type="dxa" w:w="2680"/>
          </w:tcPr>
          <w:p>
            <w:pPr>
              <w:spacing w:line="276"/>
            </w:pPr>
            <w:r>
              <w:rPr>
                <w:rFonts w:ascii="Times New Roman" w:cs="Times New Roman" w:eastAsia="Times New Roman" w:hAnsi="Times New Roman"/>
                <w:sz w:val="20"/>
                <w:szCs w:val="20"/>
              </w:rPr>
              <w:t xml:space="preserve">516,567 (17.65%)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 Tontonan Berbayar (TikTok Ads)</w:t>
            </w:r>
          </w:p>
        </w:tc>
        <w:tc>
          <w:tcPr>
            <w:tcW w:type="dxa" w:w="2680"/>
          </w:tcPr>
          <w:p>
            <w:pPr>
              <w:spacing w:line="276"/>
            </w:pPr>
            <w:r>
              <w:rPr>
                <w:rFonts w:ascii="Times New Roman" w:cs="Times New Roman" w:eastAsia="Times New Roman" w:hAnsi="Times New Roman"/>
                <w:sz w:val="20"/>
                <w:szCs w:val="20"/>
              </w:rPr>
              <w:t xml:space="preserve">1,324,018 (82.35%)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Jangkauan Audiens (Reached Audience)</w:t>
            </w:r>
          </w:p>
        </w:tc>
        <w:tc>
          <w:tcPr>
            <w:tcW w:type="dxa" w:w="2680"/>
          </w:tcPr>
          <w:p>
            <w:pPr>
              <w:spacing w:line="276"/>
            </w:pPr>
            <w:r>
              <w:rPr>
                <w:rFonts w:ascii="Times New Roman" w:cs="Times New Roman" w:eastAsia="Times New Roman" w:hAnsi="Times New Roman"/>
                <w:sz w:val="20"/>
                <w:szCs w:val="20"/>
              </w:rPr>
              <w:t xml:space="preserve">2,622,406</w:t>
            </w:r>
          </w:p>
        </w:tc>
        <w:tc>
          <w:tcPr>
            <w:tcW w:type="dxa" w:w="3480"/>
          </w:tcPr>
          <w:p>
            <w:pPr>
              <w:spacing w:line="276"/>
            </w:pPr>
            <w:r>
              <w:rPr>
                <w:rFonts w:ascii="Times New Roman" w:cs="Times New Roman" w:eastAsia="Times New Roman" w:hAnsi="Times New Roman"/>
                <w:sz w:val="20"/>
                <w:szCs w:val="20"/>
              </w:rPr>
              <w:t xml:space="preserve">Bilangan akaun unik yang dicapai</w:t>
            </w:r>
          </w:p>
        </w:tc>
      </w:tr>
      <w:tr>
        <w:tc>
          <w:tcPr>
            <w:tcW w:type="dxa" w:w="3200"/>
          </w:tcPr>
          <w:p>
            <w:pPr>
              <w:spacing w:line="276"/>
            </w:pPr>
            <w:r>
              <w:rPr>
                <w:rFonts w:ascii="Times New Roman" w:cs="Times New Roman" w:eastAsia="Times New Roman" w:hAnsi="Times New Roman"/>
                <w:sz w:val="20"/>
                <w:szCs w:val="20"/>
              </w:rPr>
              <w:t xml:space="preserve">Paparan Profil (Profile Views)</w:t>
            </w:r>
          </w:p>
        </w:tc>
        <w:tc>
          <w:tcPr>
            <w:tcW w:type="dxa" w:w="2680"/>
          </w:tcPr>
          <w:p>
            <w:pPr>
              <w:spacing w:line="276"/>
            </w:pPr>
            <w:r>
              <w:rPr>
                <w:rFonts w:ascii="Times New Roman" w:cs="Times New Roman" w:eastAsia="Times New Roman" w:hAnsi="Times New Roman"/>
                <w:sz w:val="20"/>
                <w:szCs w:val="20"/>
              </w:rPr>
              <w:t xml:space="preserve">15,251</w:t>
            </w:r>
          </w:p>
        </w:tc>
        <w:tc>
          <w:tcPr>
            <w:tcW w:type="dxa" w:w="3480"/>
          </w:tcPr>
          <w:p>
            <w:pPr>
              <w:spacing w:line="276"/>
            </w:pPr>
            <w:r>
              <w:rPr>
                <w:rFonts w:ascii="Times New Roman" w:cs="Times New Roman" w:eastAsia="Times New Roman" w:hAnsi="Times New Roman"/>
                <w:sz w:val="20"/>
                <w:szCs w:val="20"/>
              </w:rPr>
              <w:t xml:space="preserve">Penunjuk minat lanjut terhadap institusi</w:t>
            </w:r>
          </w:p>
        </w:tc>
      </w:tr>
      <w:tr>
        <w:tc>
          <w:tcPr>
            <w:tcW w:type="dxa" w:w="3200"/>
          </w:tcPr>
          <w:p>
            <w:pPr>
              <w:spacing w:line="276"/>
            </w:pPr>
            <w:r>
              <w:rPr>
                <w:rFonts w:ascii="Times New Roman" w:cs="Times New Roman" w:eastAsia="Times New Roman" w:hAnsi="Times New Roman"/>
                <w:sz w:val="20"/>
                <w:szCs w:val="20"/>
              </w:rPr>
              <w:t xml:space="preserve">Bilangan Pengikut</w:t>
            </w:r>
          </w:p>
        </w:tc>
        <w:tc>
          <w:tcPr>
            <w:tcW w:type="dxa" w:w="2680"/>
          </w:tcPr>
          <w:p>
            <w:pPr>
              <w:spacing w:line="276"/>
            </w:pPr>
            <w:r>
              <w:rPr>
                <w:rFonts w:ascii="Times New Roman" w:cs="Times New Roman" w:eastAsia="Times New Roman" w:hAnsi="Times New Roman"/>
                <w:sz w:val="20"/>
                <w:szCs w:val="20"/>
              </w:rPr>
              <w:t xml:space="preserve">13,800</w:t>
            </w:r>
          </w:p>
        </w:tc>
        <w:tc>
          <w:tcPr>
            <w:tcW w:type="dxa" w:w="3480"/>
          </w:tcPr>
          <w:p>
            <w:pPr>
              <w:spacing w:line="276"/>
            </w:pPr>
            <w:r>
              <w:rPr>
                <w:rFonts w:ascii="Times New Roman" w:cs="Times New Roman" w:eastAsia="Times New Roman" w:hAnsi="Times New Roman"/>
                <w:sz w:val="20"/>
                <w:szCs w:val="20"/>
              </w:rPr>
              <w:t xml:space="preserve">Pada akhir tempoh kempen</w:t>
            </w:r>
          </w:p>
        </w:tc>
      </w:tr>
      <w:tr>
        <w:tc>
          <w:tcPr>
            <w:tcW w:type="dxa" w:w="3200"/>
          </w:tcPr>
          <w:p>
            <w:pPr>
              <w:spacing w:line="276"/>
            </w:pPr>
            <w:r>
              <w:rPr>
                <w:rFonts w:ascii="Times New Roman" w:cs="Times New Roman" w:eastAsia="Times New Roman" w:hAnsi="Times New Roman"/>
                <w:sz w:val="20"/>
                <w:szCs w:val="20"/>
              </w:rPr>
              <w:t xml:space="preserve">Jumlah Likes (kumulatif)</w:t>
            </w:r>
          </w:p>
        </w:tc>
        <w:tc>
          <w:tcPr>
            <w:tcW w:type="dxa" w:w="2680"/>
          </w:tcPr>
          <w:p>
            <w:pPr>
              <w:spacing w:line="276"/>
            </w:pPr>
            <w:r>
              <w:rPr>
                <w:rFonts w:ascii="Times New Roman" w:cs="Times New Roman" w:eastAsia="Times New Roman" w:hAnsi="Times New Roman"/>
                <w:sz w:val="20"/>
                <w:szCs w:val="20"/>
              </w:rPr>
              <w:t xml:space="preserve">118,500</w:t>
            </w:r>
          </w:p>
        </w:tc>
        <w:tc>
          <w:tcPr>
            <w:tcW w:type="dxa" w:w="3480"/>
          </w:tcPr>
          <w:p>
            <w:pPr>
              <w:spacing w:line="276"/>
            </w:pPr>
            <w:r>
              <w:rPr>
                <w:rFonts w:ascii="Times New Roman" w:cs="Times New Roman" w:eastAsia="Times New Roman" w:hAnsi="Times New Roman"/>
                <w:sz w:val="20"/>
                <w:szCs w:val="20"/>
              </w:rPr>
              <w:t xml:space="preserve">Keseluruhan akaun @tvet_lipis</w:t>
            </w:r>
          </w:p>
        </w:tc>
      </w:tr>
      <w:tr>
        <w:tc>
          <w:tcPr>
            <w:tcW w:type="dxa" w:w="3200"/>
          </w:tcPr>
          <w:p>
            <w:pPr>
              <w:spacing w:line="276"/>
            </w:pPr>
            <w:r>
              <w:rPr>
                <w:rFonts w:ascii="Times New Roman" w:cs="Times New Roman" w:eastAsia="Times New Roman" w:hAnsi="Times New Roman"/>
                <w:sz w:val="20"/>
                <w:szCs w:val="20"/>
              </w:rPr>
              <w:t xml:space="preserve">Prospek daripada TikTok Ads</w:t>
            </w:r>
          </w:p>
        </w:tc>
        <w:tc>
          <w:tcPr>
            <w:tcW w:type="dxa" w:w="2680"/>
          </w:tcPr>
          <w:p>
            <w:pPr>
              <w:spacing w:line="276"/>
            </w:pPr>
            <w:r>
              <w:rPr>
                <w:rFonts w:ascii="Times New Roman" w:cs="Times New Roman" w:eastAsia="Times New Roman" w:hAnsi="Times New Roman"/>
                <w:sz w:val="20"/>
                <w:szCs w:val="20"/>
              </w:rPr>
              <w:t xml:space="preserve">1,134</w:t>
            </w:r>
          </w:p>
        </w:tc>
        <w:tc>
          <w:tcPr>
            <w:tcW w:type="dxa" w:w="3480"/>
          </w:tcPr>
          <w:p>
            <w:pPr>
              <w:spacing w:line="276"/>
            </w:pPr>
            <w:r>
              <w:rPr>
                <w:rFonts w:ascii="Times New Roman" w:cs="Times New Roman" w:eastAsia="Times New Roman" w:hAnsi="Times New Roman"/>
                <w:sz w:val="20"/>
                <w:szCs w:val="20"/>
              </w:rPr>
              <w:t xml:space="preserve">Borang Lead Generation — lihat seksyen 3.7</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dapatan utama boleh diperoleh daripada Jadual 3.2. Pertama, jangkauan audiens sebanyak 2,622,406 mengatasi bilangan pengikut (13,800) dengan nisbah kira-kira 190 berbanding 1. Ini mengesahkan bahawa pengedaran kandungan di TikTok didorong oleh algoritma cadangan dan bukan oleh saiz pengikut — ciri yang menjadikan platform ini sesuai bagi institusi kecil yang bermula tanpa asas audiens yang besar.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Kedua, pecahan organik berbanding berbayar menunjukkan 82.35% tontonan dijana melalui TikTok Ads sejak Mac 2026, mencerminkan kesan pelaburan iklan berbayar terhadap jangkauan keseluruhan. Perlu diambil perhatian bahawa pecahan ini hanya direkodkan oleh TikTok Analytics bermula 1 Mac 2026; tontonan bagi Januari dan Februari 2026 tidak dapat diasingkan mengikut kategori tersebut, menjadikan angka organik 516,567 sebagai nilai minimum dan bukan jumlah sebenar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 paparan profil sebanyak 15,251 merupakan penunjuk penting kerana tindakan melawat profil menandakan minat yang melangkaui tontonan pasif — pengguna secara aktif mencari maklumat lanjut tentang institusi selepas menonton kandungan.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B-1: TikTok Analytics → Overview → Tukar ke Jan-Jun 2026 → Screenshot menunjukkan Video Views, Reached Audience, Profile Views dan organic vs. paid breakdown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B-2: TikTok Analytics → Content → Susun mengikut "Most Viewed" → Screenshot 5 video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B-3: TikTok Analytics → Followers → Screenshot Follower Growth dan Demographics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3.3: Video TikTok @tvet_lipis 5 Teratas Mengikut Tontonan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1000"/>
        <w:gridCol w:w="1000"/>
        <w:gridCol w:w="2460"/>
      </w:tblGrid>
      <w:tr>
        <w:tc>
          <w:tcPr>
            <w:tcW w:type="dxa" w:w="3500"/>
            <w:shd w:fill="D9D9D9" w:color="D9D9D9" w:val="clear"/>
          </w:tcPr>
          <w:p>
            <w:pPr>
              <w:spacing w:line="276"/>
            </w:pPr>
            <w:r>
              <w:rPr>
                <w:rFonts w:ascii="Times New Roman" w:cs="Times New Roman" w:eastAsia="Times New Roman" w:hAnsi="Times New Roman"/>
                <w:b/>
                <w:bCs/>
                <w:sz w:val="20"/>
                <w:szCs w:val="20"/>
              </w:rPr>
              <w:t xml:space="preserve">Tema / Tajuk Video</w:t>
            </w:r>
          </w:p>
        </w:tc>
        <w:tc>
          <w:tcPr>
            <w:tcW w:type="dxa" w:w="1400"/>
            <w:shd w:fill="D9D9D9" w:color="D9D9D9" w:val="clear"/>
          </w:tcPr>
          <w:p>
            <w:pPr>
              <w:spacing w:line="276"/>
            </w:pPr>
            <w:r>
              <w:rPr>
                <w:rFonts w:ascii="Times New Roman" w:cs="Times New Roman" w:eastAsia="Times New Roman" w:hAnsi="Times New Roman"/>
                <w:b/>
                <w:bCs/>
                <w:sz w:val="20"/>
                <w:szCs w:val="20"/>
              </w:rPr>
              <w:t xml:space="preserve">Tontonan</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Likes</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Komen</w:t>
            </w:r>
          </w:p>
        </w:tc>
        <w:tc>
          <w:tcPr>
            <w:tcW w:type="dxa" w:w="2460"/>
            <w:shd w:fill="D9D9D9" w:color="D9D9D9" w:val="clear"/>
          </w:tcPr>
          <w:p>
            <w:pPr>
              <w:spacing w:line="276"/>
            </w:pPr>
            <w:r>
              <w:rPr>
                <w:rFonts w:ascii="Times New Roman" w:cs="Times New Roman" w:eastAsia="Times New Roman" w:hAnsi="Times New Roman"/>
                <w:b/>
                <w:bCs/>
                <w:sz w:val="20"/>
                <w:szCs w:val="20"/>
              </w:rPr>
              <w:t xml:space="preserve">Kongsi</w:t>
            </w:r>
          </w:p>
        </w:tc>
      </w:tr>
      <w:tr>
        <w:tc>
          <w:tcPr>
            <w:tcW w:type="dxa" w:w="3500"/>
          </w:tcPr>
          <w:p>
            <w:pPr>
              <w:spacing w:line="276"/>
            </w:pPr>
            <w:r>
              <w:rPr>
                <w:rFonts w:ascii="Times New Roman" w:cs="Times New Roman" w:eastAsia="Times New Roman" w:hAnsi="Times New Roman"/>
                <w:sz w:val="20"/>
                <w:szCs w:val="20"/>
              </w:rPr>
              <w:t xml:space="preserve">Ini adalah peluang kedua anda! (motivasi kerjaya / program TVET)</w:t>
            </w:r>
          </w:p>
        </w:tc>
        <w:tc>
          <w:tcPr>
            <w:tcW w:type="dxa" w:w="1400"/>
          </w:tcPr>
          <w:p>
            <w:pPr>
              <w:spacing w:line="276"/>
            </w:pPr>
            <w:r>
              <w:rPr>
                <w:rFonts w:ascii="Times New Roman" w:cs="Times New Roman" w:eastAsia="Times New Roman" w:hAnsi="Times New Roman"/>
                <w:sz w:val="20"/>
                <w:szCs w:val="20"/>
              </w:rPr>
              <w:t xml:space="preserve">3,800,000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PERHATIAN KEPADA IBU BAPA (info program untuk ibu bapa)</w:t>
            </w:r>
          </w:p>
        </w:tc>
        <w:tc>
          <w:tcPr>
            <w:tcW w:type="dxa" w:w="1400"/>
          </w:tcPr>
          <w:p>
            <w:pPr>
              <w:spacing w:line="276"/>
            </w:pPr>
            <w:r>
              <w:rPr>
                <w:rFonts w:ascii="Times New Roman" w:cs="Times New Roman" w:eastAsia="Times New Roman" w:hAnsi="Times New Roman"/>
                <w:sz w:val="20"/>
                <w:szCs w:val="20"/>
              </w:rPr>
              <w:t xml:space="preserve">502,900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Tempat Makan Underated Kuala Lipis (kandungan lifestyle tempatan)</w:t>
            </w:r>
          </w:p>
        </w:tc>
        <w:tc>
          <w:tcPr>
            <w:tcW w:type="dxa" w:w="1400"/>
          </w:tcPr>
          <w:p>
            <w:pPr>
              <w:spacing w:line="276"/>
            </w:pPr>
            <w:r>
              <w:rPr>
                <w:rFonts w:ascii="Times New Roman" w:cs="Times New Roman" w:eastAsia="Times New Roman" w:hAnsi="Times New Roman"/>
                <w:sz w:val="20"/>
                <w:szCs w:val="20"/>
              </w:rPr>
              <w:t xml:space="preserve">99,400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ISI TAJUK VIDEO 4</w:t>
            </w:r>
          </w:p>
        </w:tc>
        <w:tc>
          <w:tcPr>
            <w:tcW w:type="dxa" w:w="14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ISI TAJUK VIDEO 5</w:t>
            </w:r>
          </w:p>
        </w:tc>
        <w:tc>
          <w:tcPr>
            <w:tcW w:type="dxa" w:w="14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Video tular "Ini adalah peluang kedua anda!" (3,800,000 tontonan) mengesahkan dapatan Rutter et al. (2016) bahawa kandungan beremosi dan bermotivasi menghasilkan jangkauan organik jauh lebih tinggi berbanding kandungan promosi langsung. Video "PERHATIAN KEPADA IBU BAPA" (502,900 tontonan) yang disasarkan kepada Persona B (ibu bapa 35-45 tahun) membuktikan keberkesanan penyasaran dual-persona dalam kempen ini.</w:t>
      </w:r>
    </w:p>
    <w:p>
      <w:pPr>
        <w:spacing w:after="120" w:before="360" w:line="360" w:lineRule="auto"/>
      </w:pPr>
      <w:r>
        <w:rPr>
          <w:rFonts w:ascii="Times New Roman" w:cs="Times New Roman" w:eastAsia="Times New Roman" w:hAnsi="Times New Roman"/>
          <w:b/>
          <w:bCs/>
          <w:sz w:val="24"/>
          <w:szCs w:val="24"/>
          <w:u w:val="single"/>
        </w:rPr>
        <w:t xml:space="preserve">3.4  Penemuan Platform Instagram</w:t>
      </w:r>
    </w:p>
    <w:p>
      <w:pPr>
        <w:spacing w:after="240" w:before="0" w:line="360" w:lineRule="auto"/>
      </w:pPr>
      <w:r>
        <w:rPr>
          <w:rFonts w:ascii="Times New Roman" w:cs="Times New Roman" w:eastAsia="Times New Roman" w:hAnsi="Times New Roman"/>
          <w:sz w:val="24"/>
          <w:szCs w:val="24"/>
        </w:rPr>
        <w:t xml:space="preserve">Akaun Instagram @tvet_lipis mencatatkan 165 pengikut pada akhir Jun 2026, dengan paparan profil 44,900 tayangan dalam 30 hari terkini (data Ogos 2026). Perbezaan bilangan pengikut berbanding TikTok (13,800) adalah ketara - nisbah 1:83 - mencerminkan bahawa tumpuan dan keberkesanan kempen adalah kepada platform TikTok. Instagram berfungsi sebagai saluran sokongan dengan 127 siaran aktif sepanjang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3.4: Ringkasan Prestasi Instagram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Metrik Instagram</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4000"/>
          </w:tcPr>
          <w:p>
            <w:pPr>
              <w:spacing w:line="276"/>
            </w:pPr>
            <w:r>
              <w:rPr>
                <w:rFonts w:ascii="Times New Roman" w:cs="Times New Roman" w:eastAsia="Times New Roman" w:hAnsi="Times New Roman"/>
                <w:sz w:val="20"/>
                <w:szCs w:val="20"/>
              </w:rPr>
              <w:t xml:space="preserve">Bilangan Pengikut (akhir tempoh kempen)</w:t>
            </w:r>
          </w:p>
        </w:tc>
        <w:tc>
          <w:tcPr>
            <w:tcW w:type="dxa" w:w="2680"/>
          </w:tcPr>
          <w:p>
            <w:pPr>
              <w:spacing w:line="276"/>
            </w:pPr>
            <w:r>
              <w:rPr>
                <w:rFonts w:ascii="Times New Roman" w:cs="Times New Roman" w:eastAsia="Times New Roman" w:hAnsi="Times New Roman"/>
                <w:sz w:val="20"/>
                <w:szCs w:val="20"/>
              </w:rPr>
              <w:t xml:space="preserve">165</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Jumlah Siaran Diterbitkan</w:t>
            </w:r>
          </w:p>
        </w:tc>
        <w:tc>
          <w:tcPr>
            <w:tcW w:type="dxa" w:w="2680"/>
          </w:tcPr>
          <w:p>
            <w:pPr>
              <w:spacing w:line="276"/>
            </w:pPr>
            <w:r>
              <w:rPr>
                <w:rFonts w:ascii="Times New Roman" w:cs="Times New Roman" w:eastAsia="Times New Roman" w:hAnsi="Times New Roman"/>
                <w:sz w:val="20"/>
                <w:szCs w:val="20"/>
              </w:rPr>
              <w:t xml:space="preserve">127 siaran</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Paparan Kandungan (30 hari terkini)</w:t>
            </w:r>
          </w:p>
        </w:tc>
        <w:tc>
          <w:tcPr>
            <w:tcW w:type="dxa" w:w="2680"/>
          </w:tcPr>
          <w:p>
            <w:pPr>
              <w:spacing w:line="276"/>
            </w:pPr>
            <w:r>
              <w:rPr>
                <w:rFonts w:ascii="Times New Roman" w:cs="Times New Roman" w:eastAsia="Times New Roman" w:hAnsi="Times New Roman"/>
                <w:sz w:val="20"/>
                <w:szCs w:val="20"/>
              </w:rPr>
              <w:t xml:space="preserve">44,900</w:t>
            </w:r>
          </w:p>
        </w:tc>
        <w:tc>
          <w:tcPr>
            <w:tcW w:type="dxa" w:w="2680"/>
          </w:tcPr>
          <w:p>
            <w:pPr>
              <w:spacing w:line="276"/>
            </w:pPr>
            <w:r>
              <w:rPr>
                <w:rFonts w:ascii="Times New Roman" w:cs="Times New Roman" w:eastAsia="Times New Roman" w:hAnsi="Times New Roman"/>
                <w:sz w:val="20"/>
                <w:szCs w:val="20"/>
              </w:rPr>
              <w:t xml:space="preserve">Professional Dashboard</w:t>
            </w:r>
          </w:p>
        </w:tc>
      </w:tr>
      <w:tr>
        <w:tc>
          <w:tcPr>
            <w:tcW w:type="dxa" w:w="4000"/>
          </w:tcPr>
          <w:p>
            <w:pPr>
              <w:spacing w:line="276"/>
            </w:pPr>
            <w:r>
              <w:rPr>
                <w:rFonts w:ascii="Times New Roman" w:cs="Times New Roman" w:eastAsia="Times New Roman" w:hAnsi="Times New Roman"/>
                <w:sz w:val="20"/>
                <w:szCs w:val="20"/>
              </w:rPr>
              <w:t xml:space="preserve">Akaun Dicapai (Reach)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r>
        <w:tc>
          <w:tcPr>
            <w:tcW w:type="dxa" w:w="4000"/>
          </w:tcPr>
          <w:p>
            <w:pPr>
              <w:spacing w:line="276"/>
            </w:pPr>
            <w:r>
              <w:rPr>
                <w:rFonts w:ascii="Times New Roman" w:cs="Times New Roman" w:eastAsia="Times New Roman" w:hAnsi="Times New Roman"/>
                <w:sz w:val="20"/>
                <w:szCs w:val="20"/>
              </w:rPr>
              <w:t xml:space="preserve">Kunjungan Profil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r>
        <w:tc>
          <w:tcPr>
            <w:tcW w:type="dxa" w:w="4000"/>
          </w:tcPr>
          <w:p>
            <w:pPr>
              <w:spacing w:line="276"/>
            </w:pPr>
            <w:r>
              <w:rPr>
                <w:rFonts w:ascii="Times New Roman" w:cs="Times New Roman" w:eastAsia="Times New Roman" w:hAnsi="Times New Roman"/>
                <w:sz w:val="20"/>
                <w:szCs w:val="20"/>
              </w:rPr>
              <w:t xml:space="preserve">Klik Pautan Bio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organik menunjukkan jurang yang ketara: Instagram mencatatkan 165 pengikut berbanding TikTok 13,800 pengikut, iaitu nisbah kira-kira 1:84. Perbezaan ini menunjukkan audiens sasaran kempen — lepasan SPM berumur 17 hingga 25 tahun — jauh lebih aktif di TikTok. Dapatan ini menyokong keputusan strategik menumpukan sumber pengeluaran kandungan dan belanjawan iklan kepada TikTok.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Walau bagaimanapun, paparan kandungan Instagram sebanyak 44,900 dalam tempoh 30 hari terkini menunjukkan jangkauan yang jauh melebihi bilangan pengikut. Ini mencadangkan Instagram masih mempunyai potensi pertumbuhan sekiranya frekuensi penerbitan Reels ditingkatkan, memandangkan kandungan video yang sama telah pun dihasilkan untuk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C-1: Instagram → Professional Dashboard → Insights → Tukar tempoh ke Jan–Jun 2026 → Screenshot paparan Accounts Reached, Accounts Engaged, Total Followers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C-2: Instagram Insights → Content → Susun mengikut "Reach" → Screenshot 5 siaran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C-3: Instagram Insights → Audience → Screenshot demografi (umur, jantina, lokasi teratas) ]</w:t>
      </w:r>
    </w:p>
    <w:p>
      <w:pPr>
        <w:spacing w:after="120" w:before="360" w:line="360" w:lineRule="auto"/>
      </w:pPr>
      <w:r>
        <w:rPr>
          <w:rFonts w:ascii="Times New Roman" w:cs="Times New Roman" w:eastAsia="Times New Roman" w:hAnsi="Times New Roman"/>
          <w:b/>
          <w:bCs/>
          <w:sz w:val="24"/>
          <w:szCs w:val="24"/>
          <w:u w:val="single"/>
        </w:rPr>
        <w:t xml:space="preserve">3.5  Penemuan Kempen Meta Ads</w:t>
      </w:r>
    </w:p>
    <w:p>
      <w:pPr>
        <w:spacing w:after="240" w:before="0" w:line="360" w:lineRule="auto"/>
      </w:pPr>
      <w:r>
        <w:rPr>
          <w:rFonts w:ascii="Times New Roman" w:cs="Times New Roman" w:eastAsia="Times New Roman" w:hAnsi="Times New Roman"/>
          <w:sz w:val="24"/>
          <w:szCs w:val="24"/>
        </w:rPr>
        <w:t xml:space="preserve">Meta Ads merupakan saluran iklan berbayar utama kempen ini, disampaikan merentas penempatan Facebook dan Instagram menggunakan borang Lead Generation. Kandungan organik turut diterbitkan semula di halaman Facebook sebagai saluran sokongan bagi menjangkau Persona B, namun metrik prestasi organik halaman tersebut tidak dikumpulkan secara sistematik sepanjang tempoh kempen dan tidak dilaporkan dalam LPKT ini (rujuk Limitasi Projek, seksyen 1.4).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3.5: Prestasi Meta Ads — Kempen Lead Generation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Ads Manager → Campaigns → Pilih tempoh Jan–Jun 2026 → Screenshot keseluruhan jadual.</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Meta Ads</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Perbelanjaan Iklan (RM)</w:t>
            </w:r>
          </w:p>
        </w:tc>
        <w:tc>
          <w:tcPr>
            <w:tcW w:type="dxa" w:w="4360"/>
          </w:tcPr>
          <w:p>
            <w:pPr>
              <w:spacing w:line="276"/>
            </w:pPr>
            <w:r>
              <w:rPr>
                <w:rFonts w:ascii="Times New Roman" w:cs="Times New Roman" w:eastAsia="Times New Roman" w:hAnsi="Times New Roman"/>
                <w:sz w:val="20"/>
                <w:szCs w:val="20"/>
              </w:rPr>
              <w:t xml:space="preserve">⚠️ ISI — cari dalam Ads Manager "Amount Spent"</w:t>
            </w:r>
          </w:p>
        </w:tc>
      </w:tr>
      <w:tr>
        <w:tc>
          <w:tcPr>
            <w:tcW w:type="dxa" w:w="5000"/>
          </w:tcPr>
          <w:p>
            <w:pPr>
              <w:spacing w:line="276"/>
            </w:pPr>
            <w:r>
              <w:rPr>
                <w:rFonts w:ascii="Times New Roman" w:cs="Times New Roman" w:eastAsia="Times New Roman" w:hAnsi="Times New Roman"/>
                <w:sz w:val="20"/>
                <w:szCs w:val="20"/>
              </w:rPr>
              <w:t xml:space="preserve">Jangkauan Iklan (Unik)</w:t>
            </w:r>
          </w:p>
        </w:tc>
        <w:tc>
          <w:tcPr>
            <w:tcW w:type="dxa" w:w="4360"/>
          </w:tcPr>
          <w:p>
            <w:pPr>
              <w:spacing w:line="276"/>
            </w:pPr>
            <w:r>
              <w:rPr>
                <w:rFonts w:ascii="Times New Roman" w:cs="Times New Roman" w:eastAsia="Times New Roman" w:hAnsi="Times New Roman"/>
                <w:sz w:val="20"/>
                <w:szCs w:val="20"/>
              </w:rPr>
              <w:t xml:space="preserve">⚠️ ISI — "Reach"</w:t>
            </w:r>
          </w:p>
        </w:tc>
      </w:tr>
      <w:tr>
        <w:tc>
          <w:tcPr>
            <w:tcW w:type="dxa" w:w="5000"/>
          </w:tcPr>
          <w:p>
            <w:pPr>
              <w:spacing w:line="276"/>
            </w:pPr>
            <w:r>
              <w:rPr>
                <w:rFonts w:ascii="Times New Roman" w:cs="Times New Roman" w:eastAsia="Times New Roman" w:hAnsi="Times New Roman"/>
                <w:sz w:val="20"/>
                <w:szCs w:val="20"/>
              </w:rPr>
              <w:t xml:space="preserve">Tayangan Iklan</w:t>
            </w:r>
          </w:p>
        </w:tc>
        <w:tc>
          <w:tcPr>
            <w:tcW w:type="dxa" w:w="4360"/>
          </w:tcPr>
          <w:p>
            <w:pPr>
              <w:spacing w:line="276"/>
            </w:pPr>
            <w:r>
              <w:rPr>
                <w:rFonts w:ascii="Times New Roman" w:cs="Times New Roman" w:eastAsia="Times New Roman" w:hAnsi="Times New Roman"/>
                <w:sz w:val="20"/>
                <w:szCs w:val="20"/>
              </w:rPr>
              <w:t xml:space="preserve">⚠️ ISI — "Impressions"</w:t>
            </w:r>
          </w:p>
        </w:tc>
      </w:tr>
      <w:tr>
        <w:tc>
          <w:tcPr>
            <w:tcW w:type="dxa" w:w="5000"/>
          </w:tcPr>
          <w:p>
            <w:pPr>
              <w:spacing w:line="276"/>
            </w:pPr>
            <w:r>
              <w:rPr>
                <w:rFonts w:ascii="Times New Roman" w:cs="Times New Roman" w:eastAsia="Times New Roman" w:hAnsi="Times New Roman"/>
                <w:sz w:val="20"/>
                <w:szCs w:val="20"/>
              </w:rPr>
              <w:t xml:space="preserve">Kadar Klik Lalu / CTR (%)</w:t>
            </w:r>
          </w:p>
        </w:tc>
        <w:tc>
          <w:tcPr>
            <w:tcW w:type="dxa" w:w="4360"/>
          </w:tcPr>
          <w:p>
            <w:pPr>
              <w:spacing w:line="276"/>
            </w:pPr>
            <w:r>
              <w:rPr>
                <w:rFonts w:ascii="Times New Roman" w:cs="Times New Roman" w:eastAsia="Times New Roman" w:hAnsi="Times New Roman"/>
                <w:sz w:val="20"/>
                <w:szCs w:val="20"/>
              </w:rPr>
              <w:t xml:space="preserve">⚠️ ISI — "CTR (Link Click-Through Rate)"</w:t>
            </w:r>
          </w:p>
        </w:tc>
      </w:tr>
      <w:tr>
        <w:tc>
          <w:tcPr>
            <w:tcW w:type="dxa" w:w="5000"/>
          </w:tcPr>
          <w:p>
            <w:pPr>
              <w:spacing w:line="276"/>
            </w:pPr>
            <w:r>
              <w:rPr>
                <w:rFonts w:ascii="Times New Roman" w:cs="Times New Roman" w:eastAsia="Times New Roman" w:hAnsi="Times New Roman"/>
                <w:sz w:val="20"/>
                <w:szCs w:val="20"/>
              </w:rPr>
              <w:t xml:space="preserve">Kos Per Klik / CPC (RM)</w:t>
            </w:r>
          </w:p>
        </w:tc>
        <w:tc>
          <w:tcPr>
            <w:tcW w:type="dxa" w:w="4360"/>
          </w:tcPr>
          <w:p>
            <w:pPr>
              <w:spacing w:line="276"/>
            </w:pPr>
            <w:r>
              <w:rPr>
                <w:rFonts w:ascii="Times New Roman" w:cs="Times New Roman" w:eastAsia="Times New Roman" w:hAnsi="Times New Roman"/>
                <w:sz w:val="20"/>
                <w:szCs w:val="20"/>
              </w:rPr>
              <w:t xml:space="preserve">⚠️ ISI — "CPC (Cost Per Link Click)"</w:t>
            </w:r>
          </w:p>
        </w:tc>
      </w:tr>
      <w:tr>
        <w:tc>
          <w:tcPr>
            <w:tcW w:type="dxa" w:w="5000"/>
          </w:tcPr>
          <w:p>
            <w:pPr>
              <w:spacing w:line="276"/>
            </w:pPr>
            <w:r>
              <w:rPr>
                <w:rFonts w:ascii="Times New Roman" w:cs="Times New Roman" w:eastAsia="Times New Roman" w:hAnsi="Times New Roman"/>
                <w:sz w:val="20"/>
                <w:szCs w:val="20"/>
              </w:rPr>
              <w:t xml:space="preserve">Bilangan Prospek Dijana — Meta Ads</w:t>
            </w:r>
          </w:p>
        </w:tc>
        <w:tc>
          <w:tcPr>
            <w:tcW w:type="dxa" w:w="4360"/>
          </w:tcPr>
          <w:p>
            <w:pPr>
              <w:spacing w:line="276"/>
            </w:pPr>
            <w:r>
              <w:rPr>
                <w:rFonts w:ascii="Times New Roman" w:cs="Times New Roman" w:eastAsia="Times New Roman" w:hAnsi="Times New Roman"/>
                <w:sz w:val="20"/>
                <w:szCs w:val="20"/>
              </w:rPr>
              <w:t xml:space="preserve">2,336 prospek (borang Lead Generation)</w:t>
            </w:r>
          </w:p>
        </w:tc>
      </w:tr>
      <w:tr>
        <w:tc>
          <w:tcPr>
            <w:tcW w:type="dxa" w:w="5000"/>
          </w:tcPr>
          <w:p>
            <w:pPr>
              <w:spacing w:line="276"/>
            </w:pPr>
            <w:r>
              <w:rPr>
                <w:rFonts w:ascii="Times New Roman" w:cs="Times New Roman" w:eastAsia="Times New Roman" w:hAnsi="Times New Roman"/>
                <w:sz w:val="20"/>
                <w:szCs w:val="20"/>
              </w:rPr>
              <w:t xml:space="preserve">Kos Per Prospek / CPL (RM)</w:t>
            </w:r>
          </w:p>
        </w:tc>
        <w:tc>
          <w:tcPr>
            <w:tcW w:type="dxa" w:w="4360"/>
          </w:tcPr>
          <w:p>
            <w:pPr>
              <w:spacing w:line="276"/>
            </w:pPr>
            <w:r>
              <w:rPr>
                <w:rFonts w:ascii="Times New Roman" w:cs="Times New Roman" w:eastAsia="Times New Roman" w:hAnsi="Times New Roman"/>
                <w:sz w:val="20"/>
                <w:szCs w:val="20"/>
              </w:rPr>
              <w:t xml:space="preserve">⚠️ ISI — kirakan: Jumlah Perbelanjaan ÷ 2,336 prospek</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menghasilkan 2,336 prospek (67.3% daripada keseluruhan prospek kempen) melalui borang Lead Generation dalam talian. Kempen mencapai puncak pada bulan April 2026 dengan 798 prospek sebulan sebelum menurun ketara kepada hanya 56 prospek pada Jun 2026. Penurunan ini berlaku bertepatan dengan pertumbuhan mendadak TikTok Ads, mencadangkan kemungkinan pengurangan belanjawan Meta Ads untuk menambah peruntukan kepada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D-2: Meta Ads Manager → Campaigns → Pilih semua kempen → Tukar tarikh ke Jan-Jun 2026 → Screenshot jadual dengan columns: Reach, Impressions, CTR, CPC, Leads, Cost Per Lead, Amount Spent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D-3: Meta Ads Manager → Ads (peringkat iklan) → Screenshot 3 iklan dengan CTR tertinggi dan 2 iklan dengan CTR terendah ]</w:t>
      </w:r>
    </w:p>
    <w:p>
      <w:pPr>
        <w:spacing w:after="120" w:before="360" w:line="360" w:lineRule="auto"/>
      </w:pPr>
      <w:r>
        <w:rPr>
          <w:rFonts w:ascii="Times New Roman" w:cs="Times New Roman" w:eastAsia="Times New Roman" w:hAnsi="Times New Roman"/>
          <w:b/>
          <w:bCs/>
          <w:sz w:val="24"/>
          <w:szCs w:val="24"/>
          <w:u w:val="single"/>
        </w:rPr>
        <w:t xml:space="preserve">3.6  Analisis Carian Organik (Google Search Console)</w:t>
      </w:r>
    </w:p>
    <w:p>
      <w:pPr>
        <w:spacing w:after="240" w:before="0" w:line="360" w:lineRule="auto"/>
      </w:pPr>
      <w:r>
        <w:rPr>
          <w:rFonts w:ascii="Times New Roman" w:cs="Times New Roman" w:eastAsia="Times New Roman" w:hAnsi="Times New Roman"/>
          <w:b/>
          <w:bCs/>
          <w:sz w:val="24"/>
          <w:szCs w:val="24"/>
        </w:rPr>
        <w:t xml:space="preserve">Jadual 3.6: Prestasi Carian Organik tvetlipis.my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Google Search Console → Performance → Search Results → Tukar tarikh ke Jan 1 – Jun 30,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Jumlah Tayangan</w:t>
            </w:r>
          </w:p>
        </w:tc>
        <w:tc>
          <w:tcPr>
            <w:tcW w:type="dxa" w:w="4360"/>
          </w:tcPr>
          <w:p>
            <w:pPr>
              <w:spacing w:line="276"/>
            </w:pPr>
            <w:r>
              <w:rPr>
                <w:rFonts w:ascii="Times New Roman" w:cs="Times New Roman" w:eastAsia="Times New Roman" w:hAnsi="Times New Roman"/>
                <w:sz w:val="20"/>
                <w:szCs w:val="20"/>
              </w:rPr>
              <w:t xml:space="preserve">⚠️ ISI — lihat "Total impressions" di Search Console</w:t>
            </w:r>
          </w:p>
        </w:tc>
      </w:tr>
      <w:tr>
        <w:tc>
          <w:tcPr>
            <w:tcW w:type="dxa" w:w="5000"/>
          </w:tcPr>
          <w:p>
            <w:pPr>
              <w:spacing w:line="276"/>
            </w:pPr>
            <w:r>
              <w:rPr>
                <w:rFonts w:ascii="Times New Roman" w:cs="Times New Roman" w:eastAsia="Times New Roman" w:hAnsi="Times New Roman"/>
                <w:sz w:val="20"/>
                <w:szCs w:val="20"/>
              </w:rPr>
              <w:t xml:space="preserve">Kadar Klik Lalu (CTR) Purata (%)</w:t>
            </w:r>
          </w:p>
        </w:tc>
        <w:tc>
          <w:tcPr>
            <w:tcW w:type="dxa" w:w="4360"/>
          </w:tcPr>
          <w:p>
            <w:pPr>
              <w:spacing w:line="276"/>
            </w:pPr>
            <w:r>
              <w:rPr>
                <w:rFonts w:ascii="Times New Roman" w:cs="Times New Roman" w:eastAsia="Times New Roman" w:hAnsi="Times New Roman"/>
                <w:sz w:val="20"/>
                <w:szCs w:val="20"/>
              </w:rPr>
              <w:t xml:space="preserve">⚠️ ISI — lihat "Average CTR"</w:t>
            </w:r>
          </w:p>
        </w:tc>
      </w:tr>
      <w:tr>
        <w:tc>
          <w:tcPr>
            <w:tcW w:type="dxa" w:w="5000"/>
          </w:tcPr>
          <w:p>
            <w:pPr>
              <w:spacing w:line="276"/>
            </w:pPr>
            <w:r>
              <w:rPr>
                <w:rFonts w:ascii="Times New Roman" w:cs="Times New Roman" w:eastAsia="Times New Roman" w:hAnsi="Times New Roman"/>
                <w:sz w:val="20"/>
                <w:szCs w:val="20"/>
              </w:rPr>
              <w:t xml:space="preserve">Kedudukan Purata</w:t>
            </w:r>
          </w:p>
        </w:tc>
        <w:tc>
          <w:tcPr>
            <w:tcW w:type="dxa" w:w="4360"/>
          </w:tcPr>
          <w:p>
            <w:pPr>
              <w:spacing w:line="276"/>
            </w:pPr>
            <w:r>
              <w:rPr>
                <w:rFonts w:ascii="Times New Roman" w:cs="Times New Roman" w:eastAsia="Times New Roman" w:hAnsi="Times New Roman"/>
                <w:sz w:val="20"/>
                <w:szCs w:val="20"/>
              </w:rPr>
              <w:t xml:space="preserve">⚠️ ISI — lihat "Average position"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3.7: 5 Kata Kunci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500"/>
        <w:gridCol w:w="15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Kedudukan</w:t>
            </w:r>
          </w:p>
        </w:tc>
      </w:tr>
      <w:tr>
        <w:tc>
          <w:tcPr>
            <w:tcW w:type="dxa" w:w="3000"/>
          </w:tcPr>
          <w:p>
            <w:pPr>
              <w:spacing w:line="276"/>
            </w:pPr>
            <w:r>
              <w:rPr>
                <w:rFonts w:ascii="Times New Roman" w:cs="Times New Roman" w:eastAsia="Times New Roman" w:hAnsi="Times New Roman"/>
                <w:sz w:val="20"/>
                <w:szCs w:val="20"/>
              </w:rPr>
              <w:t xml:space="preserve">tvet lipis</w:t>
            </w:r>
          </w:p>
        </w:tc>
        <w:tc>
          <w:tcPr>
            <w:tcW w:type="dxa" w:w="1200"/>
          </w:tcPr>
          <w:p>
            <w:pPr>
              <w:spacing w:line="276"/>
            </w:pPr>
            <w:r>
              <w:rPr>
                <w:rFonts w:ascii="Times New Roman" w:cs="Times New Roman" w:eastAsia="Times New Roman" w:hAnsi="Times New Roman"/>
                <w:sz w:val="20"/>
                <w:szCs w:val="20"/>
              </w:rPr>
              <w:t xml:space="preserve">120</w:t>
            </w:r>
          </w:p>
        </w:tc>
        <w:tc>
          <w:tcPr>
            <w:tcW w:type="dxa" w:w="1500"/>
          </w:tcPr>
          <w:p>
            <w:pPr>
              <w:spacing w:line="276"/>
            </w:pPr>
            <w:r>
              <w:rPr>
                <w:rFonts w:ascii="Times New Roman" w:cs="Times New Roman" w:eastAsia="Times New Roman" w:hAnsi="Times New Roman"/>
                <w:sz w:val="20"/>
                <w:szCs w:val="20"/>
              </w:rPr>
              <w:t xml:space="preserve">603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tvet kuala lipis</w:t>
            </w:r>
          </w:p>
        </w:tc>
        <w:tc>
          <w:tcPr>
            <w:tcW w:type="dxa" w:w="1200"/>
          </w:tcPr>
          <w:p>
            <w:pPr>
              <w:spacing w:line="276"/>
            </w:pPr>
            <w:r>
              <w:rPr>
                <w:rFonts w:ascii="Times New Roman" w:cs="Times New Roman" w:eastAsia="Times New Roman" w:hAnsi="Times New Roman"/>
                <w:sz w:val="20"/>
                <w:szCs w:val="20"/>
              </w:rPr>
              <w:t xml:space="preserve">22</w:t>
            </w:r>
          </w:p>
        </w:tc>
        <w:tc>
          <w:tcPr>
            <w:tcW w:type="dxa" w:w="1500"/>
          </w:tcPr>
          <w:p>
            <w:pPr>
              <w:spacing w:line="276"/>
            </w:pPr>
            <w:r>
              <w:rPr>
                <w:rFonts w:ascii="Times New Roman" w:cs="Times New Roman" w:eastAsia="Times New Roman" w:hAnsi="Times New Roman"/>
                <w:sz w:val="20"/>
                <w:szCs w:val="20"/>
              </w:rPr>
              <w:t xml:space="preserve">173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kolej islam antarabangsa kuala lipis</w:t>
            </w:r>
          </w:p>
        </w:tc>
        <w:tc>
          <w:tcPr>
            <w:tcW w:type="dxa" w:w="1200"/>
          </w:tcPr>
          <w:p>
            <w:pPr>
              <w:spacing w:line="276"/>
            </w:pPr>
            <w:r>
              <w:rPr>
                <w:rFonts w:ascii="Times New Roman" w:cs="Times New Roman" w:eastAsia="Times New Roman" w:hAnsi="Times New Roman"/>
                <w:sz w:val="20"/>
                <w:szCs w:val="20"/>
              </w:rPr>
              <w:t xml:space="preserve">18</w:t>
            </w:r>
          </w:p>
        </w:tc>
        <w:tc>
          <w:tcPr>
            <w:tcW w:type="dxa" w:w="1500"/>
          </w:tcPr>
          <w:p>
            <w:pPr>
              <w:spacing w:line="276"/>
            </w:pPr>
            <w:r>
              <w:rPr>
                <w:rFonts w:ascii="Times New Roman" w:cs="Times New Roman" w:eastAsia="Times New Roman" w:hAnsi="Times New Roman"/>
                <w:sz w:val="20"/>
                <w:szCs w:val="20"/>
              </w:rPr>
              <w:t xml:space="preserve">324</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KE-4</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KE-5</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Kata kunci berjenama "tvet lipis" mencatatkan 120 klik daripada 603 tayangan, menjadikannya kata kunci utama yang mendorong trafik organik ke tvetlipis.my. Peningkatan carian berjenama ini mencerminkan kesan spillover positif daripada aktiviti media sosial yang meningkatkan kesedaran jenama TVET Lipis (Chaffey, 2022).</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E-1: Google Search Console → Performance → Tukar tarikh ke Jan-Jun 2026 → Screenshot Overview (klik, tayangan, CTR, kedudukan)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E-2: Google Search Console → Performance → Scroll ke "Queries" → Screenshot 10 kata kunci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E-3: Google Search Console → Performance → Tab "Pages" → Screenshot halaman-halaman dengan klik tertinggi ]</w:t>
      </w:r>
    </w:p>
    <w:p>
      <w:pPr>
        <w:spacing w:after="120" w:before="360" w:line="360" w:lineRule="auto"/>
      </w:pPr>
      <w:r>
        <w:rPr>
          <w:rFonts w:ascii="Times New Roman" w:cs="Times New Roman" w:eastAsia="Times New Roman" w:hAnsi="Times New Roman"/>
          <w:b/>
          <w:bCs/>
          <w:sz w:val="24"/>
          <w:szCs w:val="24"/>
          <w:u w:val="single"/>
        </w:rPr>
        <w:t xml:space="preserve">3.7  Analisis Penjanaan Prospek (CRM)</w:t>
      </w:r>
    </w:p>
    <w:p>
      <w:pPr>
        <w:spacing w:after="240" w:before="0" w:line="360" w:lineRule="auto"/>
      </w:pPr>
      <w:r>
        <w:rPr>
          <w:rFonts w:ascii="Times New Roman" w:cs="Times New Roman" w:eastAsia="Times New Roman" w:hAnsi="Times New Roman"/>
          <w:sz w:val="24"/>
          <w:szCs w:val="24"/>
        </w:rPr>
        <w:t xml:space="preserve">Data prospek dalam talian diperolehi daripada Sistem CRM TVET Lipis (sumber: jadual leads, 6,056 rekod keseluruhan) yang mencatatkan semua pertanyaan diterima melalui borang iklan dalam talian Meta Ads dan TikTok Ads. Analisis ini meliputi 3,470 prospek yang direkodkan bagi tempoh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3.8: Jumlah Prospek Online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c>
          <w:tcPr>
            <w:tcW w:type="dxa" w:w="4500"/>
            <w:shd w:fill="D9D9D9" w:color="D9D9D9" w:val="clear"/>
          </w:tcPr>
          <w:p>
            <w:pPr>
              <w:spacing w:line="276"/>
            </w:pPr>
            <w:r>
              <w:rPr>
                <w:rFonts w:ascii="Times New Roman" w:cs="Times New Roman" w:eastAsia="Times New Roman" w:hAnsi="Times New Roman"/>
                <w:b/>
                <w:bCs/>
                <w:sz w:val="20"/>
                <w:szCs w:val="20"/>
              </w:rPr>
              <w:t xml:space="preserve">Sumber Prospek</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500"/>
          </w:tcPr>
          <w:p>
            <w:pPr>
              <w:spacing w:line="276"/>
            </w:pPr>
            <w:r>
              <w:rPr>
                <w:rFonts w:ascii="Times New Roman" w:cs="Times New Roman" w:eastAsia="Times New Roman" w:hAnsi="Times New Roman"/>
                <w:sz w:val="20"/>
                <w:szCs w:val="20"/>
              </w:rPr>
              <w:t xml:space="preserve">Meta Ads (Facebook/Instagram — Borang Lead Gen)</w:t>
            </w:r>
          </w:p>
        </w:tc>
        <w:tc>
          <w:tcPr>
            <w:tcW w:type="dxa" w:w="2500"/>
          </w:tcPr>
          <w:p>
            <w:pPr>
              <w:spacing w:line="276"/>
            </w:pPr>
            <w:r>
              <w:rPr>
                <w:rFonts w:ascii="Times New Roman" w:cs="Times New Roman" w:eastAsia="Times New Roman" w:hAnsi="Times New Roman"/>
                <w:sz w:val="20"/>
                <w:szCs w:val="20"/>
              </w:rPr>
              <w:t xml:space="preserve">2,336</w:t>
            </w:r>
          </w:p>
        </w:tc>
        <w:tc>
          <w:tcPr>
            <w:tcW w:type="dxa" w:w="2360"/>
          </w:tcPr>
          <w:p>
            <w:pPr>
              <w:spacing w:line="276"/>
            </w:pPr>
            <w:r>
              <w:rPr>
                <w:rFonts w:ascii="Times New Roman" w:cs="Times New Roman" w:eastAsia="Times New Roman" w:hAnsi="Times New Roman"/>
                <w:sz w:val="20"/>
                <w:szCs w:val="20"/>
              </w:rPr>
              <w:t xml:space="preserve">67.3%</w:t>
            </w:r>
          </w:p>
        </w:tc>
      </w:tr>
      <w:tr>
        <w:tc>
          <w:tcPr>
            <w:tcW w:type="dxa" w:w="4500"/>
          </w:tcPr>
          <w:p>
            <w:pPr>
              <w:spacing w:line="276"/>
            </w:pPr>
            <w:r>
              <w:rPr>
                <w:rFonts w:ascii="Times New Roman" w:cs="Times New Roman" w:eastAsia="Times New Roman" w:hAnsi="Times New Roman"/>
                <w:sz w:val="20"/>
                <w:szCs w:val="20"/>
              </w:rPr>
              <w:t xml:space="preserve">TikTok Ads (Borang Lead Gen)</w:t>
            </w:r>
          </w:p>
        </w:tc>
        <w:tc>
          <w:tcPr>
            <w:tcW w:type="dxa" w:w="2500"/>
          </w:tcPr>
          <w:p>
            <w:pPr>
              <w:spacing w:line="276"/>
            </w:pPr>
            <w:r>
              <w:rPr>
                <w:rFonts w:ascii="Times New Roman" w:cs="Times New Roman" w:eastAsia="Times New Roman" w:hAnsi="Times New Roman"/>
                <w:sz w:val="20"/>
                <w:szCs w:val="20"/>
              </w:rPr>
              <w:t xml:space="preserve">1,134</w:t>
            </w:r>
          </w:p>
        </w:tc>
        <w:tc>
          <w:tcPr>
            <w:tcW w:type="dxa" w:w="2360"/>
          </w:tcPr>
          <w:p>
            <w:pPr>
              <w:spacing w:line="276"/>
            </w:pPr>
            <w:r>
              <w:rPr>
                <w:rFonts w:ascii="Times New Roman" w:cs="Times New Roman" w:eastAsia="Times New Roman" w:hAnsi="Times New Roman"/>
                <w:sz w:val="20"/>
                <w:szCs w:val="20"/>
              </w:rPr>
              <w:t xml:space="preserve">32.7%</w:t>
            </w:r>
          </w:p>
        </w:tc>
      </w:tr>
      <w:tr>
        <w:tc>
          <w:tcPr>
            <w:tcW w:type="dxa" w:w="45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merupakan sumber prospek dominan sepanjang Januari hingga April 2026, menyumbang 67.3% daripada keseluruhan 3,470 prospek. Walau bagaimanapun, TikTok Ads yang dilancarkan pada Mac 2026 menunjukkan pertumbuhan mendadak — menjelang Jun 2026, TikTok menghasilkan hampir 5 kali lebih banyak prospek berbanding Meta Ads dalam bulan yang sama, menandakan peralihan platform yang signifikan.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3.9: Prospek Online Mengikut Bulan dan Saluran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Meta Ads</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TikTok Ads</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500"/>
          </w:tcPr>
          <w:p>
            <w:pPr>
              <w:spacing w:line="276"/>
            </w:pPr>
            <w:r>
              <w:rPr>
                <w:rFonts w:ascii="Times New Roman" w:cs="Times New Roman" w:eastAsia="Times New Roman" w:hAnsi="Times New Roman"/>
                <w:sz w:val="20"/>
                <w:szCs w:val="20"/>
              </w:rPr>
              <w:t xml:space="preserve">Januari 2026</w:t>
            </w:r>
          </w:p>
        </w:tc>
        <w:tc>
          <w:tcPr>
            <w:tcW w:type="dxa" w:w="2000"/>
          </w:tcPr>
          <w:p>
            <w:pPr>
              <w:spacing w:line="276"/>
            </w:pPr>
            <w:r>
              <w:rPr>
                <w:rFonts w:ascii="Times New Roman" w:cs="Times New Roman" w:eastAsia="Times New Roman" w:hAnsi="Times New Roman"/>
                <w:sz w:val="20"/>
                <w:szCs w:val="20"/>
              </w:rPr>
              <w:t xml:space="preserve">345</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345</w:t>
            </w:r>
          </w:p>
        </w:tc>
      </w:tr>
      <w:tr>
        <w:tc>
          <w:tcPr>
            <w:tcW w:type="dxa" w:w="2500"/>
          </w:tcPr>
          <w:p>
            <w:pPr>
              <w:spacing w:line="276"/>
            </w:pPr>
            <w:r>
              <w:rPr>
                <w:rFonts w:ascii="Times New Roman" w:cs="Times New Roman" w:eastAsia="Times New Roman" w:hAnsi="Times New Roman"/>
                <w:sz w:val="20"/>
                <w:szCs w:val="20"/>
              </w:rPr>
              <w:t xml:space="preserve">Februari 2026</w:t>
            </w:r>
          </w:p>
        </w:tc>
        <w:tc>
          <w:tcPr>
            <w:tcW w:type="dxa" w:w="2000"/>
          </w:tcPr>
          <w:p>
            <w:pPr>
              <w:spacing w:line="276"/>
            </w:pPr>
            <w:r>
              <w:rPr>
                <w:rFonts w:ascii="Times New Roman" w:cs="Times New Roman" w:eastAsia="Times New Roman" w:hAnsi="Times New Roman"/>
                <w:sz w:val="20"/>
                <w:szCs w:val="20"/>
              </w:rPr>
              <w:t xml:space="preserve">133</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133</w:t>
            </w:r>
          </w:p>
        </w:tc>
      </w:tr>
      <w:tr>
        <w:tc>
          <w:tcPr>
            <w:tcW w:type="dxa" w:w="2500"/>
          </w:tcPr>
          <w:p>
            <w:pPr>
              <w:spacing w:line="276"/>
            </w:pPr>
            <w:r>
              <w:rPr>
                <w:rFonts w:ascii="Times New Roman" w:cs="Times New Roman" w:eastAsia="Times New Roman" w:hAnsi="Times New Roman"/>
                <w:sz w:val="20"/>
                <w:szCs w:val="20"/>
              </w:rPr>
              <w:t xml:space="preserve">Mac 2026</w:t>
            </w:r>
          </w:p>
        </w:tc>
        <w:tc>
          <w:tcPr>
            <w:tcW w:type="dxa" w:w="2000"/>
          </w:tcPr>
          <w:p>
            <w:pPr>
              <w:spacing w:line="276"/>
            </w:pPr>
            <w:r>
              <w:rPr>
                <w:rFonts w:ascii="Times New Roman" w:cs="Times New Roman" w:eastAsia="Times New Roman" w:hAnsi="Times New Roman"/>
                <w:sz w:val="20"/>
                <w:szCs w:val="20"/>
              </w:rPr>
              <w:t xml:space="preserve">778</w:t>
            </w:r>
          </w:p>
        </w:tc>
        <w:tc>
          <w:tcPr>
            <w:tcW w:type="dxa" w:w="2000"/>
          </w:tcPr>
          <w:p>
            <w:pPr>
              <w:spacing w:line="276"/>
            </w:pPr>
            <w:r>
              <w:rPr>
                <w:rFonts w:ascii="Times New Roman" w:cs="Times New Roman" w:eastAsia="Times New Roman" w:hAnsi="Times New Roman"/>
                <w:sz w:val="20"/>
                <w:szCs w:val="20"/>
              </w:rPr>
              <w:t xml:space="preserve">5</w:t>
            </w:r>
          </w:p>
        </w:tc>
        <w:tc>
          <w:tcPr>
            <w:tcW w:type="dxa" w:w="2860"/>
          </w:tcPr>
          <w:p>
            <w:pPr>
              <w:spacing w:line="276"/>
            </w:pPr>
            <w:r>
              <w:rPr>
                <w:rFonts w:ascii="Times New Roman" w:cs="Times New Roman" w:eastAsia="Times New Roman" w:hAnsi="Times New Roman"/>
                <w:sz w:val="20"/>
                <w:szCs w:val="20"/>
              </w:rPr>
              <w:t xml:space="preserve">783</w:t>
            </w:r>
          </w:p>
        </w:tc>
      </w:tr>
      <w:tr>
        <w:tc>
          <w:tcPr>
            <w:tcW w:type="dxa" w:w="2500"/>
          </w:tcPr>
          <w:p>
            <w:pPr>
              <w:spacing w:line="276"/>
            </w:pPr>
            <w:r>
              <w:rPr>
                <w:rFonts w:ascii="Times New Roman" w:cs="Times New Roman" w:eastAsia="Times New Roman" w:hAnsi="Times New Roman"/>
                <w:sz w:val="20"/>
                <w:szCs w:val="20"/>
              </w:rPr>
              <w:t xml:space="preserve">April 2026</w:t>
            </w:r>
          </w:p>
        </w:tc>
        <w:tc>
          <w:tcPr>
            <w:tcW w:type="dxa" w:w="2000"/>
          </w:tcPr>
          <w:p>
            <w:pPr>
              <w:spacing w:line="276"/>
            </w:pPr>
            <w:r>
              <w:rPr>
                <w:rFonts w:ascii="Times New Roman" w:cs="Times New Roman" w:eastAsia="Times New Roman" w:hAnsi="Times New Roman"/>
                <w:sz w:val="20"/>
                <w:szCs w:val="20"/>
              </w:rPr>
              <w:t xml:space="preserve">798</w:t>
            </w:r>
          </w:p>
        </w:tc>
        <w:tc>
          <w:tcPr>
            <w:tcW w:type="dxa" w:w="2000"/>
          </w:tcPr>
          <w:p>
            <w:pPr>
              <w:spacing w:line="276"/>
            </w:pPr>
            <w:r>
              <w:rPr>
                <w:rFonts w:ascii="Times New Roman" w:cs="Times New Roman" w:eastAsia="Times New Roman" w:hAnsi="Times New Roman"/>
                <w:sz w:val="20"/>
                <w:szCs w:val="20"/>
              </w:rPr>
              <w:t xml:space="preserve">560</w:t>
            </w:r>
          </w:p>
        </w:tc>
        <w:tc>
          <w:tcPr>
            <w:tcW w:type="dxa" w:w="2860"/>
          </w:tcPr>
          <w:p>
            <w:pPr>
              <w:spacing w:line="276"/>
            </w:pPr>
            <w:r>
              <w:rPr>
                <w:rFonts w:ascii="Times New Roman" w:cs="Times New Roman" w:eastAsia="Times New Roman" w:hAnsi="Times New Roman"/>
                <w:sz w:val="20"/>
                <w:szCs w:val="20"/>
              </w:rPr>
              <w:t xml:space="preserve">1,358</w:t>
            </w:r>
          </w:p>
        </w:tc>
      </w:tr>
      <w:tr>
        <w:tc>
          <w:tcPr>
            <w:tcW w:type="dxa" w:w="2500"/>
          </w:tcPr>
          <w:p>
            <w:pPr>
              <w:spacing w:line="276"/>
            </w:pPr>
            <w:r>
              <w:rPr>
                <w:rFonts w:ascii="Times New Roman" w:cs="Times New Roman" w:eastAsia="Times New Roman" w:hAnsi="Times New Roman"/>
                <w:sz w:val="20"/>
                <w:szCs w:val="20"/>
              </w:rPr>
              <w:t xml:space="preserve">Mei 2026</w:t>
            </w:r>
          </w:p>
        </w:tc>
        <w:tc>
          <w:tcPr>
            <w:tcW w:type="dxa" w:w="2000"/>
          </w:tcPr>
          <w:p>
            <w:pPr>
              <w:spacing w:line="276"/>
            </w:pPr>
            <w:r>
              <w:rPr>
                <w:rFonts w:ascii="Times New Roman" w:cs="Times New Roman" w:eastAsia="Times New Roman" w:hAnsi="Times New Roman"/>
                <w:sz w:val="20"/>
                <w:szCs w:val="20"/>
              </w:rPr>
              <w:t xml:space="preserve">226</w:t>
            </w:r>
          </w:p>
        </w:tc>
        <w:tc>
          <w:tcPr>
            <w:tcW w:type="dxa" w:w="2000"/>
          </w:tcPr>
          <w:p>
            <w:pPr>
              <w:spacing w:line="276"/>
            </w:pPr>
            <w:r>
              <w:rPr>
                <w:rFonts w:ascii="Times New Roman" w:cs="Times New Roman" w:eastAsia="Times New Roman" w:hAnsi="Times New Roman"/>
                <w:sz w:val="20"/>
                <w:szCs w:val="20"/>
              </w:rPr>
              <w:t xml:space="preserve">315</w:t>
            </w:r>
          </w:p>
        </w:tc>
        <w:tc>
          <w:tcPr>
            <w:tcW w:type="dxa" w:w="2860"/>
          </w:tcPr>
          <w:p>
            <w:pPr>
              <w:spacing w:line="276"/>
            </w:pPr>
            <w:r>
              <w:rPr>
                <w:rFonts w:ascii="Times New Roman" w:cs="Times New Roman" w:eastAsia="Times New Roman" w:hAnsi="Times New Roman"/>
                <w:sz w:val="20"/>
                <w:szCs w:val="20"/>
              </w:rPr>
              <w:t xml:space="preserve">541</w:t>
            </w:r>
          </w:p>
        </w:tc>
      </w:tr>
      <w:tr>
        <w:tc>
          <w:tcPr>
            <w:tcW w:type="dxa" w:w="2500"/>
          </w:tcPr>
          <w:p>
            <w:pPr>
              <w:spacing w:line="276"/>
            </w:pPr>
            <w:r>
              <w:rPr>
                <w:rFonts w:ascii="Times New Roman" w:cs="Times New Roman" w:eastAsia="Times New Roman" w:hAnsi="Times New Roman"/>
                <w:sz w:val="20"/>
                <w:szCs w:val="20"/>
              </w:rPr>
              <w:t xml:space="preserve">Jun 2026</w:t>
            </w:r>
          </w:p>
        </w:tc>
        <w:tc>
          <w:tcPr>
            <w:tcW w:type="dxa" w:w="2000"/>
          </w:tcPr>
          <w:p>
            <w:pPr>
              <w:spacing w:line="276"/>
            </w:pPr>
            <w:r>
              <w:rPr>
                <w:rFonts w:ascii="Times New Roman" w:cs="Times New Roman" w:eastAsia="Times New Roman" w:hAnsi="Times New Roman"/>
                <w:sz w:val="20"/>
                <w:szCs w:val="20"/>
              </w:rPr>
              <w:t xml:space="preserve">56</w:t>
            </w:r>
          </w:p>
        </w:tc>
        <w:tc>
          <w:tcPr>
            <w:tcW w:type="dxa" w:w="2000"/>
          </w:tcPr>
          <w:p>
            <w:pPr>
              <w:spacing w:line="276"/>
            </w:pPr>
            <w:r>
              <w:rPr>
                <w:rFonts w:ascii="Times New Roman" w:cs="Times New Roman" w:eastAsia="Times New Roman" w:hAnsi="Times New Roman"/>
                <w:sz w:val="20"/>
                <w:szCs w:val="20"/>
              </w:rPr>
              <w:t xml:space="preserve">254</w:t>
            </w:r>
          </w:p>
        </w:tc>
        <w:tc>
          <w:tcPr>
            <w:tcW w:type="dxa" w:w="2860"/>
          </w:tcPr>
          <w:p>
            <w:pPr>
              <w:spacing w:line="276"/>
            </w:pPr>
            <w:r>
              <w:rPr>
                <w:rFonts w:ascii="Times New Roman" w:cs="Times New Roman" w:eastAsia="Times New Roman" w:hAnsi="Times New Roman"/>
                <w:sz w:val="20"/>
                <w:szCs w:val="20"/>
              </w:rPr>
              <w:t xml:space="preserve">310</w:t>
            </w:r>
          </w:p>
        </w:tc>
      </w:tr>
      <w:tr>
        <w:tc>
          <w:tcPr>
            <w:tcW w:type="dxa" w:w="25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2,336</w:t>
            </w:r>
          </w:p>
        </w:tc>
        <w:tc>
          <w:tcPr>
            <w:tcW w:type="dxa" w:w="2000"/>
          </w:tcPr>
          <w:p>
            <w:pPr>
              <w:spacing w:line="276"/>
            </w:pPr>
            <w:r>
              <w:rPr>
                <w:rFonts w:ascii="Times New Roman" w:cs="Times New Roman" w:eastAsia="Times New Roman" w:hAnsi="Times New Roman"/>
                <w:sz w:val="20"/>
                <w:szCs w:val="20"/>
              </w:rPr>
              <w:t xml:space="preserve">1,134</w:t>
            </w:r>
          </w:p>
        </w:tc>
        <w:tc>
          <w:tcPr>
            <w:tcW w:type="dxa" w:w="2860"/>
          </w:tcPr>
          <w:p>
            <w:pPr>
              <w:spacing w:line="276"/>
            </w:pPr>
            <w:r>
              <w:rPr>
                <w:rFonts w:ascii="Times New Roman" w:cs="Times New Roman" w:eastAsia="Times New Roman" w:hAnsi="Times New Roman"/>
                <w:sz w:val="20"/>
                <w:szCs w:val="20"/>
              </w:rPr>
              <w:t xml:space="preserve">3,470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Bulan April 2026 mencatatkan jumlah prospek tertinggi (1,358 prospek), bertepatan dengan musim bakal pelajar lepasan SPM yang aktif mencari maklumat program pengajian. Meta Ads mencapai puncak pada bulan Mac–April sebelum menurun mendadak kepada hanya 56 prospek pada Jun 2026, manakala TikTok Ads terus menunjukkan pertumbuhan konsisten sehingga menjadi sumber prospek utama pada Mei dan Jun 2026. Peralihan ini membuktikan TikTok semakin dominan sebagai saluran penjanaan prospek yang mampan.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3.10: Prospek Online Mengikut Kursus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Kursus DKM</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Pendidikan Awal Kanak-Kanak (PAKK)</w:t>
            </w:r>
          </w:p>
        </w:tc>
        <w:tc>
          <w:tcPr>
            <w:tcW w:type="dxa" w:w="2500"/>
          </w:tcPr>
          <w:p>
            <w:pPr>
              <w:spacing w:line="276"/>
            </w:pPr>
            <w:r>
              <w:rPr>
                <w:rFonts w:ascii="Times New Roman" w:cs="Times New Roman" w:eastAsia="Times New Roman" w:hAnsi="Times New Roman"/>
                <w:sz w:val="20"/>
                <w:szCs w:val="20"/>
              </w:rPr>
              <w:t xml:space="preserve">1,903</w:t>
            </w:r>
          </w:p>
        </w:tc>
        <w:tc>
          <w:tcPr>
            <w:tcW w:type="dxa" w:w="2860"/>
          </w:tcPr>
          <w:p>
            <w:pPr>
              <w:spacing w:line="276"/>
            </w:pPr>
            <w:r>
              <w:rPr>
                <w:rFonts w:ascii="Times New Roman" w:cs="Times New Roman" w:eastAsia="Times New Roman" w:hAnsi="Times New Roman"/>
                <w:sz w:val="20"/>
                <w:szCs w:val="20"/>
              </w:rPr>
              <w:t xml:space="preserve">54.8%</w:t>
            </w:r>
          </w:p>
        </w:tc>
      </w:tr>
      <w:tr>
        <w:tc>
          <w:tcPr>
            <w:tcW w:type="dxa" w:w="4000"/>
          </w:tcPr>
          <w:p>
            <w:pPr>
              <w:spacing w:line="276"/>
            </w:pPr>
            <w:r>
              <w:rPr>
                <w:rFonts w:ascii="Times New Roman" w:cs="Times New Roman" w:eastAsia="Times New Roman" w:hAnsi="Times New Roman"/>
                <w:sz w:val="20"/>
                <w:szCs w:val="20"/>
              </w:rPr>
              <w:t xml:space="preserve">Pra-Sekolah</w:t>
            </w:r>
          </w:p>
        </w:tc>
        <w:tc>
          <w:tcPr>
            <w:tcW w:type="dxa" w:w="2500"/>
          </w:tcPr>
          <w:p>
            <w:pPr>
              <w:spacing w:line="276"/>
            </w:pPr>
            <w:r>
              <w:rPr>
                <w:rFonts w:ascii="Times New Roman" w:cs="Times New Roman" w:eastAsia="Times New Roman" w:hAnsi="Times New Roman"/>
                <w:sz w:val="20"/>
                <w:szCs w:val="20"/>
              </w:rPr>
              <w:t xml:space="preserve">753</w:t>
            </w:r>
          </w:p>
        </w:tc>
        <w:tc>
          <w:tcPr>
            <w:tcW w:type="dxa" w:w="2860"/>
          </w:tcPr>
          <w:p>
            <w:pPr>
              <w:spacing w:line="276"/>
            </w:pPr>
            <w:r>
              <w:rPr>
                <w:rFonts w:ascii="Times New Roman" w:cs="Times New Roman" w:eastAsia="Times New Roman" w:hAnsi="Times New Roman"/>
                <w:sz w:val="20"/>
                <w:szCs w:val="20"/>
              </w:rPr>
              <w:t xml:space="preserve">21.7%</w:t>
            </w:r>
          </w:p>
        </w:tc>
      </w:tr>
      <w:tr>
        <w:tc>
          <w:tcPr>
            <w:tcW w:type="dxa" w:w="4000"/>
          </w:tcPr>
          <w:p>
            <w:pPr>
              <w:spacing w:line="276"/>
            </w:pPr>
            <w:r>
              <w:rPr>
                <w:rFonts w:ascii="Times New Roman" w:cs="Times New Roman" w:eastAsia="Times New Roman" w:hAnsi="Times New Roman"/>
                <w:sz w:val="20"/>
                <w:szCs w:val="20"/>
              </w:rPr>
              <w:t xml:space="preserve">Multimedia</w:t>
            </w:r>
          </w:p>
        </w:tc>
        <w:tc>
          <w:tcPr>
            <w:tcW w:type="dxa" w:w="2500"/>
          </w:tcPr>
          <w:p>
            <w:pPr>
              <w:spacing w:line="276"/>
            </w:pPr>
            <w:r>
              <w:rPr>
                <w:rFonts w:ascii="Times New Roman" w:cs="Times New Roman" w:eastAsia="Times New Roman" w:hAnsi="Times New Roman"/>
                <w:sz w:val="20"/>
                <w:szCs w:val="20"/>
              </w:rPr>
              <w:t xml:space="preserve">572</w:t>
            </w:r>
          </w:p>
        </w:tc>
        <w:tc>
          <w:tcPr>
            <w:tcW w:type="dxa" w:w="2860"/>
          </w:tcPr>
          <w:p>
            <w:pPr>
              <w:spacing w:line="276"/>
            </w:pPr>
            <w:r>
              <w:rPr>
                <w:rFonts w:ascii="Times New Roman" w:cs="Times New Roman" w:eastAsia="Times New Roman" w:hAnsi="Times New Roman"/>
                <w:sz w:val="20"/>
                <w:szCs w:val="20"/>
              </w:rPr>
              <w:t xml:space="preserve">16.5%</w:t>
            </w:r>
          </w:p>
        </w:tc>
      </w:tr>
      <w:tr>
        <w:tc>
          <w:tcPr>
            <w:tcW w:type="dxa" w:w="4000"/>
          </w:tcPr>
          <w:p>
            <w:pPr>
              <w:spacing w:line="276"/>
            </w:pPr>
            <w:r>
              <w:rPr>
                <w:rFonts w:ascii="Times New Roman" w:cs="Times New Roman" w:eastAsia="Times New Roman" w:hAnsi="Times New Roman"/>
                <w:sz w:val="20"/>
                <w:szCs w:val="20"/>
              </w:rPr>
              <w:t xml:space="preserve">Elektrik</w:t>
            </w:r>
          </w:p>
        </w:tc>
        <w:tc>
          <w:tcPr>
            <w:tcW w:type="dxa" w:w="2500"/>
          </w:tcPr>
          <w:p>
            <w:pPr>
              <w:spacing w:line="276"/>
            </w:pPr>
            <w:r>
              <w:rPr>
                <w:rFonts w:ascii="Times New Roman" w:cs="Times New Roman" w:eastAsia="Times New Roman" w:hAnsi="Times New Roman"/>
                <w:sz w:val="20"/>
                <w:szCs w:val="20"/>
              </w:rPr>
              <w:t xml:space="preserve">240</w:t>
            </w:r>
          </w:p>
        </w:tc>
        <w:tc>
          <w:tcPr>
            <w:tcW w:type="dxa" w:w="2860"/>
          </w:tcPr>
          <w:p>
            <w:pPr>
              <w:spacing w:line="276"/>
            </w:pPr>
            <w:r>
              <w:rPr>
                <w:rFonts w:ascii="Times New Roman" w:cs="Times New Roman" w:eastAsia="Times New Roman" w:hAnsi="Times New Roman"/>
                <w:sz w:val="20"/>
                <w:szCs w:val="20"/>
              </w:rPr>
              <w:t xml:space="preserve">6.9%</w:t>
            </w:r>
          </w:p>
        </w:tc>
      </w:tr>
      <w:tr>
        <w:tc>
          <w:tcPr>
            <w:tcW w:type="dxa" w:w="4000"/>
          </w:tcPr>
          <w:p>
            <w:pPr>
              <w:spacing w:line="276"/>
            </w:pPr>
            <w:r>
              <w:rPr>
                <w:rFonts w:ascii="Times New Roman" w:cs="Times New Roman" w:eastAsia="Times New Roman" w:hAnsi="Times New Roman"/>
                <w:sz w:val="20"/>
                <w:szCs w:val="20"/>
              </w:rPr>
              <w:t xml:space="preserve">Lain-lain</w:t>
            </w:r>
          </w:p>
        </w:tc>
        <w:tc>
          <w:tcPr>
            <w:tcW w:type="dxa" w:w="2500"/>
          </w:tcPr>
          <w:p>
            <w:pPr>
              <w:spacing w:line="276"/>
            </w:pPr>
            <w:r>
              <w:rPr>
                <w:rFonts w:ascii="Times New Roman" w:cs="Times New Roman" w:eastAsia="Times New Roman" w:hAnsi="Times New Roman"/>
                <w:sz w:val="20"/>
                <w:szCs w:val="20"/>
              </w:rPr>
              <w:t xml:space="preserve">2</w:t>
            </w:r>
          </w:p>
        </w:tc>
        <w:tc>
          <w:tcPr>
            <w:tcW w:type="dxa" w:w="2860"/>
          </w:tcPr>
          <w:p>
            <w:pPr>
              <w:spacing w:line="276"/>
            </w:pPr>
            <w:r>
              <w:rPr>
                <w:rFonts w:ascii="Times New Roman" w:cs="Times New Roman" w:eastAsia="Times New Roman" w:hAnsi="Times New Roman"/>
                <w:sz w:val="20"/>
                <w:szCs w:val="20"/>
              </w:rPr>
              <w:t xml:space="preserve">0.1%</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8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Kursus PAKK (Pendidikan Awal Kanak-Kanak) mendominasi permintaan dengan 1,903 prospek (54.8%), hampir dua kali ganda berbanding kursus kedua teratas, Pra-Sekolah (753 prospek atau 21.7%). Gabungan PAKK dan Pra-Sekolah mewakili 76.5% daripada keseluruhan permintaan, mencerminkan minat tinggi terhadap bidang pendidikan kanak-kanak. Dapatan ini konsisten dengan profil demografi prospek yang menunjukkan 90% adalah perempuan — selaras dengan profil tradisional pendidik awal kanak-kanak.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3.11: Status Prospek dalam Sistem CRM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Status Peringkat dalam CRM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3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Lead (status asal semasa prospek dijana)</w:t>
            </w:r>
          </w:p>
        </w:tc>
        <w:tc>
          <w:tcPr>
            <w:tcW w:type="dxa" w:w="2000"/>
          </w:tcPr>
          <w:p>
            <w:pPr>
              <w:spacing w:line="276"/>
            </w:pPr>
            <w:r>
              <w:rPr>
                <w:rFonts w:ascii="Times New Roman" w:cs="Times New Roman" w:eastAsia="Times New Roman" w:hAnsi="Times New Roman"/>
                <w:sz w:val="20"/>
                <w:szCs w:val="20"/>
              </w:rPr>
              <w:t xml:space="preserve">2,656</w:t>
            </w:r>
          </w:p>
        </w:tc>
        <w:tc>
          <w:tcPr>
            <w:tcW w:type="dxa" w:w="3360"/>
          </w:tcPr>
          <w:p>
            <w:pPr>
              <w:spacing w:line="276"/>
            </w:pPr>
            <w:r>
              <w:rPr>
                <w:rFonts w:ascii="Times New Roman" w:cs="Times New Roman" w:eastAsia="Times New Roman" w:hAnsi="Times New Roman"/>
                <w:sz w:val="20"/>
                <w:szCs w:val="20"/>
              </w:rPr>
              <w:t xml:space="preserve">76.5%</w:t>
            </w:r>
          </w:p>
        </w:tc>
      </w:tr>
      <w:tr>
        <w:tc>
          <w:tcPr>
            <w:tcW w:type="dxa" w:w="4000"/>
          </w:tcPr>
          <w:p>
            <w:pPr>
              <w:spacing w:line="276"/>
            </w:pPr>
            <w:r>
              <w:rPr>
                <w:rFonts w:ascii="Times New Roman" w:cs="Times New Roman" w:eastAsia="Times New Roman" w:hAnsi="Times New Roman"/>
                <w:sz w:val="20"/>
                <w:szCs w:val="20"/>
              </w:rPr>
              <w:t xml:space="preserve">Contacted (dikemas kini oleh pasukan pengambilan)</w:t>
            </w:r>
          </w:p>
        </w:tc>
        <w:tc>
          <w:tcPr>
            <w:tcW w:type="dxa" w:w="2000"/>
          </w:tcPr>
          <w:p>
            <w:pPr>
              <w:spacing w:line="276"/>
            </w:pPr>
            <w:r>
              <w:rPr>
                <w:rFonts w:ascii="Times New Roman" w:cs="Times New Roman" w:eastAsia="Times New Roman" w:hAnsi="Times New Roman"/>
                <w:sz w:val="20"/>
                <w:szCs w:val="20"/>
              </w:rPr>
              <w:t xml:space="preserve">735</w:t>
            </w:r>
          </w:p>
        </w:tc>
        <w:tc>
          <w:tcPr>
            <w:tcW w:type="dxa" w:w="3360"/>
          </w:tcPr>
          <w:p>
            <w:pPr>
              <w:spacing w:line="276"/>
            </w:pPr>
            <w:r>
              <w:rPr>
                <w:rFonts w:ascii="Times New Roman" w:cs="Times New Roman" w:eastAsia="Times New Roman" w:hAnsi="Times New Roman"/>
                <w:sz w:val="20"/>
                <w:szCs w:val="20"/>
              </w:rPr>
              <w:t xml:space="preserve">21.2%</w:t>
            </w:r>
          </w:p>
        </w:tc>
      </w:tr>
      <w:tr>
        <w:tc>
          <w:tcPr>
            <w:tcW w:type="dxa" w:w="4000"/>
          </w:tcPr>
          <w:p>
            <w:pPr>
              <w:spacing w:line="276"/>
            </w:pPr>
            <w:r>
              <w:rPr>
                <w:rFonts w:ascii="Times New Roman" w:cs="Times New Roman" w:eastAsia="Times New Roman" w:hAnsi="Times New Roman"/>
                <w:sz w:val="20"/>
                <w:szCs w:val="20"/>
              </w:rPr>
              <w:t xml:space="preserve">Potential (menunjukkan minat serius)</w:t>
            </w:r>
          </w:p>
        </w:tc>
        <w:tc>
          <w:tcPr>
            <w:tcW w:type="dxa" w:w="2000"/>
          </w:tcPr>
          <w:p>
            <w:pPr>
              <w:spacing w:line="276"/>
            </w:pPr>
            <w:r>
              <w:rPr>
                <w:rFonts w:ascii="Times New Roman" w:cs="Times New Roman" w:eastAsia="Times New Roman" w:hAnsi="Times New Roman"/>
                <w:sz w:val="20"/>
                <w:szCs w:val="20"/>
              </w:rPr>
              <w:t xml:space="preserve">62</w:t>
            </w:r>
          </w:p>
        </w:tc>
        <w:tc>
          <w:tcPr>
            <w:tcW w:type="dxa" w:w="3360"/>
          </w:tcPr>
          <w:p>
            <w:pPr>
              <w:spacing w:line="276"/>
            </w:pPr>
            <w:r>
              <w:rPr>
                <w:rFonts w:ascii="Times New Roman" w:cs="Times New Roman" w:eastAsia="Times New Roman" w:hAnsi="Times New Roman"/>
                <w:sz w:val="20"/>
                <w:szCs w:val="20"/>
              </w:rPr>
              <w:t xml:space="preserve">1.8%</w:t>
            </w:r>
          </w:p>
        </w:tc>
      </w:tr>
      <w:tr>
        <w:tc>
          <w:tcPr>
            <w:tcW w:type="dxa" w:w="4000"/>
          </w:tcPr>
          <w:p>
            <w:pPr>
              <w:spacing w:line="276"/>
            </w:pPr>
            <w:r>
              <w:rPr>
                <w:rFonts w:ascii="Times New Roman" w:cs="Times New Roman" w:eastAsia="Times New Roman" w:hAnsi="Times New Roman"/>
                <w:sz w:val="20"/>
                <w:szCs w:val="20"/>
              </w:rPr>
              <w:t xml:space="preserve">Customer (mendaftar sebagai pelajar)</w:t>
            </w:r>
          </w:p>
        </w:tc>
        <w:tc>
          <w:tcPr>
            <w:tcW w:type="dxa" w:w="2000"/>
          </w:tcPr>
          <w:p>
            <w:pPr>
              <w:spacing w:line="276"/>
            </w:pPr>
            <w:r>
              <w:rPr>
                <w:rFonts w:ascii="Times New Roman" w:cs="Times New Roman" w:eastAsia="Times New Roman" w:hAnsi="Times New Roman"/>
                <w:sz w:val="20"/>
                <w:szCs w:val="20"/>
              </w:rPr>
              <w:t xml:space="preserve">16</w:t>
            </w:r>
          </w:p>
        </w:tc>
        <w:tc>
          <w:tcPr>
            <w:tcW w:type="dxa" w:w="3360"/>
          </w:tcPr>
          <w:p>
            <w:pPr>
              <w:spacing w:line="276"/>
            </w:pPr>
            <w:r>
              <w:rPr>
                <w:rFonts w:ascii="Times New Roman" w:cs="Times New Roman" w:eastAsia="Times New Roman" w:hAnsi="Times New Roman"/>
                <w:sz w:val="20"/>
                <w:szCs w:val="20"/>
              </w:rPr>
              <w:t xml:space="preserve">0.5%</w:t>
            </w:r>
          </w:p>
        </w:tc>
      </w:tr>
      <w:tr>
        <w:tc>
          <w:tcPr>
            <w:tcW w:type="dxa" w:w="4000"/>
          </w:tcPr>
          <w:p>
            <w:pPr>
              <w:spacing w:line="276"/>
            </w:pPr>
            <w:r>
              <w:rPr>
                <w:rFonts w:ascii="Times New Roman" w:cs="Times New Roman" w:eastAsia="Times New Roman" w:hAnsi="Times New Roman"/>
                <w:sz w:val="20"/>
                <w:szCs w:val="20"/>
              </w:rPr>
              <w:t xml:space="preserve">Cold (tidak lagi berminat)</w:t>
            </w:r>
          </w:p>
        </w:tc>
        <w:tc>
          <w:tcPr>
            <w:tcW w:type="dxa" w:w="2000"/>
          </w:tcPr>
          <w:p>
            <w:pPr>
              <w:spacing w:line="276"/>
            </w:pPr>
            <w:r>
              <w:rPr>
                <w:rFonts w:ascii="Times New Roman" w:cs="Times New Roman" w:eastAsia="Times New Roman" w:hAnsi="Times New Roman"/>
                <w:sz w:val="20"/>
                <w:szCs w:val="20"/>
              </w:rPr>
              <w:t xml:space="preserve">1</w:t>
            </w:r>
          </w:p>
        </w:tc>
        <w:tc>
          <w:tcPr>
            <w:tcW w:type="dxa" w:w="3360"/>
          </w:tcPr>
          <w:p>
            <w:pPr>
              <w:spacing w:line="276"/>
            </w:pPr>
            <w:r>
              <w:rPr>
                <w:rFonts w:ascii="Times New Roman" w:cs="Times New Roman" w:eastAsia="Times New Roman" w:hAnsi="Times New Roman"/>
                <w:sz w:val="20"/>
                <w:szCs w:val="20"/>
              </w:rPr>
              <w:t xml:space="preserve">0.0%</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3,470</w:t>
            </w:r>
          </w:p>
        </w:tc>
        <w:tc>
          <w:tcPr>
            <w:tcW w:type="dxa" w:w="3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Sebanyak 16 prospek (0.46%) telah disahkan mendaftar sebagai pelajar sepanjang tempoh kempen. Perlu ditegaskan bahawa angka status dalam Jadual 3.11 mewakili rekod yang dikemas kini dalam sistem CRM dan bukan gambaran sebenar aktiviti susulan yang dijalankan. Sistem CRM ini masih dalam fasa pelaksanaan sepanjang tempoh kempen, dan pasukan pengambilan menjalankan susulan melalui WhatsApp tanpa mengemas kini status setiap prospek dalam sistem. Justeru, bilangan prospek yang kekal berstatus "Lead" tidak boleh ditafsirkan sebagai prospek yang tidak dihubungi.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Batasan data ini bermakna kadar penukaran sebenar bagi prospek yang telah dihubungi tidak dapat dikira dengan tepat daripada data CRM semasa. Bagi tujuan LPKT ini, angka 16 pendaftaran disahkan digunakan sebagai penunjuk hasil akhir kempen, manakala analisis prestasi kempen tertumpu kepada metrik yang berada dalam kawalan aktiviti pemasaran media sosial — iaitu jangkauan, penglibatan, bilangan prospek dijana dan kos per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3.12: Profil Demografi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35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Kategori Demografi</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Peratusan</w:t>
            </w:r>
          </w:p>
        </w:tc>
        <w:tc>
          <w:tcPr>
            <w:tcW w:type="dxa" w:w="3560"/>
            <w:shd w:fill="D9D9D9" w:color="D9D9D9" w:val="clear"/>
          </w:tcPr>
          <w:p>
            <w:pPr>
              <w:spacing w:line="276"/>
            </w:pPr>
            <w:r>
              <w:rPr>
                <w:rFonts w:ascii="Times New Roman" w:cs="Times New Roman" w:eastAsia="Times New Roman" w:hAnsi="Times New Roman"/>
                <w:b/>
                <w:bCs/>
                <w:sz w:val="20"/>
                <w:szCs w:val="20"/>
              </w:rPr>
              <w:t xml:space="preserve">Asas Pengiraan</w:t>
            </w:r>
          </w:p>
        </w:tc>
      </w:tr>
      <w:tr>
        <w:tc>
          <w:tcPr>
            <w:tcW w:type="dxa" w:w="2800"/>
          </w:tcPr>
          <w:p>
            <w:pPr>
              <w:spacing w:line="276"/>
            </w:pPr>
            <w:r>
              <w:rPr>
                <w:rFonts w:ascii="Times New Roman" w:cs="Times New Roman" w:eastAsia="Times New Roman" w:hAnsi="Times New Roman"/>
                <w:sz w:val="20"/>
                <w:szCs w:val="20"/>
              </w:rPr>
              <w:t xml:space="preserve">Umur 18 tahun ke bawah</w:t>
            </w:r>
          </w:p>
        </w:tc>
        <w:tc>
          <w:tcPr>
            <w:tcW w:type="dxa" w:w="1500"/>
          </w:tcPr>
          <w:p>
            <w:pPr>
              <w:spacing w:line="276"/>
            </w:pPr>
            <w:r>
              <w:rPr>
                <w:rFonts w:ascii="Times New Roman" w:cs="Times New Roman" w:eastAsia="Times New Roman" w:hAnsi="Times New Roman"/>
                <w:sz w:val="20"/>
                <w:szCs w:val="20"/>
              </w:rPr>
              <w:t xml:space="preserve">748</w:t>
            </w:r>
          </w:p>
        </w:tc>
        <w:tc>
          <w:tcPr>
            <w:tcW w:type="dxa" w:w="1500"/>
          </w:tcPr>
          <w:p>
            <w:pPr>
              <w:spacing w:line="276"/>
            </w:pPr>
            <w:r>
              <w:rPr>
                <w:rFonts w:ascii="Times New Roman" w:cs="Times New Roman" w:eastAsia="Times New Roman" w:hAnsi="Times New Roman"/>
                <w:sz w:val="20"/>
                <w:szCs w:val="20"/>
              </w:rPr>
              <w:t xml:space="preserve">66.1%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19–21 tahun</w:t>
            </w:r>
          </w:p>
        </w:tc>
        <w:tc>
          <w:tcPr>
            <w:tcW w:type="dxa" w:w="1500"/>
          </w:tcPr>
          <w:p>
            <w:pPr>
              <w:spacing w:line="276"/>
            </w:pPr>
            <w:r>
              <w:rPr>
                <w:rFonts w:ascii="Times New Roman" w:cs="Times New Roman" w:eastAsia="Times New Roman" w:hAnsi="Times New Roman"/>
                <w:sz w:val="20"/>
                <w:szCs w:val="20"/>
              </w:rPr>
              <w:t xml:space="preserve">230</w:t>
            </w:r>
          </w:p>
        </w:tc>
        <w:tc>
          <w:tcPr>
            <w:tcW w:type="dxa" w:w="1500"/>
          </w:tcPr>
          <w:p>
            <w:pPr>
              <w:spacing w:line="276"/>
            </w:pPr>
            <w:r>
              <w:rPr>
                <w:rFonts w:ascii="Times New Roman" w:cs="Times New Roman" w:eastAsia="Times New Roman" w:hAnsi="Times New Roman"/>
                <w:sz w:val="20"/>
                <w:szCs w:val="20"/>
              </w:rPr>
              <w:t xml:space="preserve">20.3%</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22–25 tahun</w:t>
            </w:r>
          </w:p>
        </w:tc>
        <w:tc>
          <w:tcPr>
            <w:tcW w:type="dxa" w:w="1500"/>
          </w:tcPr>
          <w:p>
            <w:pPr>
              <w:spacing w:line="276"/>
            </w:pPr>
            <w:r>
              <w:rPr>
                <w:rFonts w:ascii="Times New Roman" w:cs="Times New Roman" w:eastAsia="Times New Roman" w:hAnsi="Times New Roman"/>
                <w:sz w:val="20"/>
                <w:szCs w:val="20"/>
              </w:rPr>
              <w:t xml:space="preserve">103</w:t>
            </w:r>
          </w:p>
        </w:tc>
        <w:tc>
          <w:tcPr>
            <w:tcW w:type="dxa" w:w="1500"/>
          </w:tcPr>
          <w:p>
            <w:pPr>
              <w:spacing w:line="276"/>
            </w:pPr>
            <w:r>
              <w:rPr>
                <w:rFonts w:ascii="Times New Roman" w:cs="Times New Roman" w:eastAsia="Times New Roman" w:hAnsi="Times New Roman"/>
                <w:sz w:val="20"/>
                <w:szCs w:val="20"/>
              </w:rPr>
              <w:t xml:space="preserve">9.1%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melebihi 25 tahun</w:t>
            </w:r>
          </w:p>
        </w:tc>
        <w:tc>
          <w:tcPr>
            <w:tcW w:type="dxa" w:w="1500"/>
          </w:tcPr>
          <w:p>
            <w:pPr>
              <w:spacing w:line="276"/>
            </w:pPr>
            <w:r>
              <w:rPr>
                <w:rFonts w:ascii="Times New Roman" w:cs="Times New Roman" w:eastAsia="Times New Roman" w:hAnsi="Times New Roman"/>
                <w:sz w:val="20"/>
                <w:szCs w:val="20"/>
              </w:rPr>
              <w:t xml:space="preserve">51</w:t>
            </w:r>
          </w:p>
        </w:tc>
        <w:tc>
          <w:tcPr>
            <w:tcW w:type="dxa" w:w="1500"/>
          </w:tcPr>
          <w:p>
            <w:pPr>
              <w:spacing w:line="276"/>
            </w:pPr>
            <w:r>
              <w:rPr>
                <w:rFonts w:ascii="Times New Roman" w:cs="Times New Roman" w:eastAsia="Times New Roman" w:hAnsi="Times New Roman"/>
                <w:sz w:val="20"/>
                <w:szCs w:val="20"/>
              </w:rPr>
              <w:t xml:space="preserve">4.5%</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Jantina — Perempuan</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90%</w:t>
            </w:r>
          </w:p>
        </w:tc>
        <w:tc>
          <w:tcPr>
            <w:tcW w:type="dxa" w:w="3560"/>
          </w:tcPr>
          <w:p>
            <w:pPr>
              <w:spacing w:line="276"/>
            </w:pPr>
            <w:r>
              <w:rPr>
                <w:rFonts w:ascii="Times New Roman" w:cs="Times New Roman" w:eastAsia="Times New Roman" w:hAnsi="Times New Roman"/>
                <w:sz w:val="20"/>
                <w:szCs w:val="20"/>
              </w:rPr>
              <w:t xml:space="preserve">Rekod berjantina diketahui</w:t>
            </w:r>
          </w:p>
        </w:tc>
      </w:tr>
      <w:tr>
        <w:tc>
          <w:tcPr>
            <w:tcW w:type="dxa" w:w="2800"/>
          </w:tcPr>
          <w:p>
            <w:pPr>
              <w:spacing w:line="276"/>
            </w:pPr>
            <w:r>
              <w:rPr>
                <w:rFonts w:ascii="Times New Roman" w:cs="Times New Roman" w:eastAsia="Times New Roman" w:hAnsi="Times New Roman"/>
                <w:sz w:val="20"/>
                <w:szCs w:val="20"/>
              </w:rPr>
              <w:t xml:space="preserve">Jantina — Lelaki</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10%</w:t>
            </w:r>
          </w:p>
        </w:tc>
        <w:tc>
          <w:tcPr>
            <w:tcW w:type="dxa" w:w="3560"/>
          </w:tcPr>
          <w:p>
            <w:pPr>
              <w:spacing w:line="276"/>
            </w:pPr>
            <w:r>
              <w:rPr>
                <w:rFonts w:ascii="Times New Roman" w:cs="Times New Roman" w:eastAsia="Times New Roman" w:hAnsi="Times New Roman"/>
                <w:sz w:val="20"/>
                <w:szCs w:val="20"/>
              </w:rPr>
              <w:t xml:space="preserve">Rekod berjantina diketahui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 demografi mengesahkan penyasaran kempen adalah tepat. Daripada 1,132 rekod yang mempunyai maklumat umur, 978 prospek (86.4%) berumur 21 tahun ke bawah — iaitu kumpulan lepasan SPM yang menjadi Persona A dalam perancangan kempen. Hanya 51 prospek (4.5%) berumur melebihi 25 tahun, mencadangkan pembaziran penyasaran adalah minimum. Majoriti prospek (90%) adalah perempuan, selaras dengan dominasi permintaan bagi kursus PAKK dan Pra-Sekolah yang secara tradisinya menarik lebih ramai calon perempuan.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medan umur hanya ditangkap secara konsisten oleh borang TikTok Ads. Justeru, analisis umur di atas mewakili 32.6% daripada keseluruhan 3,470 prospek dan tidak boleh diekstrapolasi secara langsung kepada keseluruhan populasi prospek. Peratusan jantina pula dikira berdasarkan rekod yang mempunyai maklumat jantina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3.13: 5 Negeri Teratas Mengikut Bilangan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2000"/>
        <w:gridCol w:w="3660"/>
      </w:tblGrid>
      <w:tr>
        <w:tc>
          <w:tcPr>
            <w:tcW w:type="dxa" w:w="1200"/>
            <w:shd w:fill="D9D9D9" w:color="D9D9D9" w:val="clear"/>
          </w:tcPr>
          <w:p>
            <w:pPr>
              <w:spacing w:line="276"/>
            </w:pPr>
            <w:r>
              <w:rPr>
                <w:rFonts w:ascii="Times New Roman" w:cs="Times New Roman" w:eastAsia="Times New Roman" w:hAnsi="Times New Roman"/>
                <w:b/>
                <w:bCs/>
                <w:sz w:val="20"/>
                <w:szCs w:val="20"/>
              </w:rPr>
              <w:t xml:space="preserve">Kedudukan</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Negeri</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36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1200"/>
          </w:tcPr>
          <w:p>
            <w:pPr>
              <w:spacing w:line="276"/>
            </w:pPr>
            <w:r>
              <w:rPr>
                <w:rFonts w:ascii="Times New Roman" w:cs="Times New Roman" w:eastAsia="Times New Roman" w:hAnsi="Times New Roman"/>
                <w:sz w:val="20"/>
                <w:szCs w:val="20"/>
              </w:rPr>
              <w:t xml:space="preserve">1</w:t>
            </w:r>
          </w:p>
        </w:tc>
        <w:tc>
          <w:tcPr>
            <w:tcW w:type="dxa" w:w="2500"/>
          </w:tcPr>
          <w:p>
            <w:pPr>
              <w:spacing w:line="276"/>
            </w:pPr>
            <w:r>
              <w:rPr>
                <w:rFonts w:ascii="Times New Roman" w:cs="Times New Roman" w:eastAsia="Times New Roman" w:hAnsi="Times New Roman"/>
                <w:sz w:val="20"/>
                <w:szCs w:val="20"/>
              </w:rPr>
              <w:t xml:space="preserve">Selangor</w:t>
            </w:r>
          </w:p>
        </w:tc>
        <w:tc>
          <w:tcPr>
            <w:tcW w:type="dxa" w:w="2000"/>
          </w:tcPr>
          <w:p>
            <w:pPr>
              <w:spacing w:line="276"/>
            </w:pPr>
            <w:r>
              <w:rPr>
                <w:rFonts w:ascii="Times New Roman" w:cs="Times New Roman" w:eastAsia="Times New Roman" w:hAnsi="Times New Roman"/>
                <w:sz w:val="20"/>
                <w:szCs w:val="20"/>
              </w:rPr>
              <w:t xml:space="preserve">443</w:t>
            </w:r>
          </w:p>
        </w:tc>
        <w:tc>
          <w:tcPr>
            <w:tcW w:type="dxa" w:w="3660"/>
          </w:tcPr>
          <w:p>
            <w:pPr>
              <w:spacing w:line="276"/>
            </w:pPr>
            <w:r>
              <w:rPr>
                <w:rFonts w:ascii="Times New Roman" w:cs="Times New Roman" w:eastAsia="Times New Roman" w:hAnsi="Times New Roman"/>
                <w:sz w:val="20"/>
                <w:szCs w:val="20"/>
              </w:rPr>
              <w:t xml:space="preserve">12.8%</w:t>
            </w:r>
          </w:p>
        </w:tc>
      </w:tr>
      <w:tr>
        <w:tc>
          <w:tcPr>
            <w:tcW w:type="dxa" w:w="1200"/>
          </w:tcPr>
          <w:p>
            <w:pPr>
              <w:spacing w:line="276"/>
            </w:pPr>
            <w:r>
              <w:rPr>
                <w:rFonts w:ascii="Times New Roman" w:cs="Times New Roman" w:eastAsia="Times New Roman" w:hAnsi="Times New Roman"/>
                <w:sz w:val="20"/>
                <w:szCs w:val="20"/>
              </w:rPr>
              <w:t xml:space="preserve">2</w:t>
            </w:r>
          </w:p>
        </w:tc>
        <w:tc>
          <w:tcPr>
            <w:tcW w:type="dxa" w:w="2500"/>
          </w:tcPr>
          <w:p>
            <w:pPr>
              <w:spacing w:line="276"/>
            </w:pPr>
            <w:r>
              <w:rPr>
                <w:rFonts w:ascii="Times New Roman" w:cs="Times New Roman" w:eastAsia="Times New Roman" w:hAnsi="Times New Roman"/>
                <w:sz w:val="20"/>
                <w:szCs w:val="20"/>
              </w:rPr>
              <w:t xml:space="preserve">Kelantan</w:t>
            </w:r>
          </w:p>
        </w:tc>
        <w:tc>
          <w:tcPr>
            <w:tcW w:type="dxa" w:w="2000"/>
          </w:tcPr>
          <w:p>
            <w:pPr>
              <w:spacing w:line="276"/>
            </w:pPr>
            <w:r>
              <w:rPr>
                <w:rFonts w:ascii="Times New Roman" w:cs="Times New Roman" w:eastAsia="Times New Roman" w:hAnsi="Times New Roman"/>
                <w:sz w:val="20"/>
                <w:szCs w:val="20"/>
              </w:rPr>
              <w:t xml:space="preserve">401</w:t>
            </w:r>
          </w:p>
        </w:tc>
        <w:tc>
          <w:tcPr>
            <w:tcW w:type="dxa" w:w="3660"/>
          </w:tcPr>
          <w:p>
            <w:pPr>
              <w:spacing w:line="276"/>
            </w:pPr>
            <w:r>
              <w:rPr>
                <w:rFonts w:ascii="Times New Roman" w:cs="Times New Roman" w:eastAsia="Times New Roman" w:hAnsi="Times New Roman"/>
                <w:sz w:val="20"/>
                <w:szCs w:val="20"/>
              </w:rPr>
              <w:t xml:space="preserve">11.6%</w:t>
            </w:r>
          </w:p>
        </w:tc>
      </w:tr>
      <w:tr>
        <w:tc>
          <w:tcPr>
            <w:tcW w:type="dxa" w:w="1200"/>
          </w:tcPr>
          <w:p>
            <w:pPr>
              <w:spacing w:line="276"/>
            </w:pPr>
            <w:r>
              <w:rPr>
                <w:rFonts w:ascii="Times New Roman" w:cs="Times New Roman" w:eastAsia="Times New Roman" w:hAnsi="Times New Roman"/>
                <w:sz w:val="20"/>
                <w:szCs w:val="20"/>
              </w:rPr>
              <w:t xml:space="preserve">3</w:t>
            </w:r>
          </w:p>
        </w:tc>
        <w:tc>
          <w:tcPr>
            <w:tcW w:type="dxa" w:w="2500"/>
          </w:tcPr>
          <w:p>
            <w:pPr>
              <w:spacing w:line="276"/>
            </w:pPr>
            <w:r>
              <w:rPr>
                <w:rFonts w:ascii="Times New Roman" w:cs="Times New Roman" w:eastAsia="Times New Roman" w:hAnsi="Times New Roman"/>
                <w:sz w:val="20"/>
                <w:szCs w:val="20"/>
              </w:rPr>
              <w:t xml:space="preserve">Pahang</w:t>
            </w:r>
          </w:p>
        </w:tc>
        <w:tc>
          <w:tcPr>
            <w:tcW w:type="dxa" w:w="2000"/>
          </w:tcPr>
          <w:p>
            <w:pPr>
              <w:spacing w:line="276"/>
            </w:pPr>
            <w:r>
              <w:rPr>
                <w:rFonts w:ascii="Times New Roman" w:cs="Times New Roman" w:eastAsia="Times New Roman" w:hAnsi="Times New Roman"/>
                <w:sz w:val="20"/>
                <w:szCs w:val="20"/>
              </w:rPr>
              <w:t xml:space="preserve">293</w:t>
            </w:r>
          </w:p>
        </w:tc>
        <w:tc>
          <w:tcPr>
            <w:tcW w:type="dxa" w:w="3660"/>
          </w:tcPr>
          <w:p>
            <w:pPr>
              <w:spacing w:line="276"/>
            </w:pPr>
            <w:r>
              <w:rPr>
                <w:rFonts w:ascii="Times New Roman" w:cs="Times New Roman" w:eastAsia="Times New Roman" w:hAnsi="Times New Roman"/>
                <w:sz w:val="20"/>
                <w:szCs w:val="20"/>
              </w:rPr>
              <w:t xml:space="preserve">8.4%</w:t>
            </w:r>
          </w:p>
        </w:tc>
      </w:tr>
      <w:tr>
        <w:tc>
          <w:tcPr>
            <w:tcW w:type="dxa" w:w="1200"/>
          </w:tcPr>
          <w:p>
            <w:pPr>
              <w:spacing w:line="276"/>
            </w:pPr>
            <w:r>
              <w:rPr>
                <w:rFonts w:ascii="Times New Roman" w:cs="Times New Roman" w:eastAsia="Times New Roman" w:hAnsi="Times New Roman"/>
                <w:sz w:val="20"/>
                <w:szCs w:val="20"/>
              </w:rPr>
              <w:t xml:space="preserve">4</w:t>
            </w:r>
          </w:p>
        </w:tc>
        <w:tc>
          <w:tcPr>
            <w:tcW w:type="dxa" w:w="2500"/>
          </w:tcPr>
          <w:p>
            <w:pPr>
              <w:spacing w:line="276"/>
            </w:pPr>
            <w:r>
              <w:rPr>
                <w:rFonts w:ascii="Times New Roman" w:cs="Times New Roman" w:eastAsia="Times New Roman" w:hAnsi="Times New Roman"/>
                <w:sz w:val="20"/>
                <w:szCs w:val="20"/>
              </w:rPr>
              <w:t xml:space="preserve">Johor</w:t>
            </w:r>
          </w:p>
        </w:tc>
        <w:tc>
          <w:tcPr>
            <w:tcW w:type="dxa" w:w="2000"/>
          </w:tcPr>
          <w:p>
            <w:pPr>
              <w:spacing w:line="276"/>
            </w:pPr>
            <w:r>
              <w:rPr>
                <w:rFonts w:ascii="Times New Roman" w:cs="Times New Roman" w:eastAsia="Times New Roman" w:hAnsi="Times New Roman"/>
                <w:sz w:val="20"/>
                <w:szCs w:val="20"/>
              </w:rPr>
              <w:t xml:space="preserve">261</w:t>
            </w:r>
          </w:p>
        </w:tc>
        <w:tc>
          <w:tcPr>
            <w:tcW w:type="dxa" w:w="3660"/>
          </w:tcPr>
          <w:p>
            <w:pPr>
              <w:spacing w:line="276"/>
            </w:pPr>
            <w:r>
              <w:rPr>
                <w:rFonts w:ascii="Times New Roman" w:cs="Times New Roman" w:eastAsia="Times New Roman" w:hAnsi="Times New Roman"/>
                <w:sz w:val="20"/>
                <w:szCs w:val="20"/>
              </w:rPr>
              <w:t xml:space="preserve">7.5%</w:t>
            </w:r>
          </w:p>
        </w:tc>
      </w:tr>
      <w:tr>
        <w:tc>
          <w:tcPr>
            <w:tcW w:type="dxa" w:w="1200"/>
          </w:tcPr>
          <w:p>
            <w:pPr>
              <w:spacing w:line="276"/>
            </w:pPr>
            <w:r>
              <w:rPr>
                <w:rFonts w:ascii="Times New Roman" w:cs="Times New Roman" w:eastAsia="Times New Roman" w:hAnsi="Times New Roman"/>
                <w:sz w:val="20"/>
                <w:szCs w:val="20"/>
              </w:rPr>
              <w:t xml:space="preserve">5</w:t>
            </w:r>
          </w:p>
        </w:tc>
        <w:tc>
          <w:tcPr>
            <w:tcW w:type="dxa" w:w="2500"/>
          </w:tcPr>
          <w:p>
            <w:pPr>
              <w:spacing w:line="276"/>
            </w:pPr>
            <w:r>
              <w:rPr>
                <w:rFonts w:ascii="Times New Roman" w:cs="Times New Roman" w:eastAsia="Times New Roman" w:hAnsi="Times New Roman"/>
                <w:sz w:val="20"/>
                <w:szCs w:val="20"/>
              </w:rPr>
              <w:t xml:space="preserve">Terengganu</w:t>
            </w:r>
          </w:p>
        </w:tc>
        <w:tc>
          <w:tcPr>
            <w:tcW w:type="dxa" w:w="2000"/>
          </w:tcPr>
          <w:p>
            <w:pPr>
              <w:spacing w:line="276"/>
            </w:pPr>
            <w:r>
              <w:rPr>
                <w:rFonts w:ascii="Times New Roman" w:cs="Times New Roman" w:eastAsia="Times New Roman" w:hAnsi="Times New Roman"/>
                <w:sz w:val="20"/>
                <w:szCs w:val="20"/>
              </w:rPr>
              <w:t xml:space="preserve">186</w:t>
            </w:r>
          </w:p>
        </w:tc>
        <w:tc>
          <w:tcPr>
            <w:tcW w:type="dxa" w:w="3660"/>
          </w:tcPr>
          <w:p>
            <w:pPr>
              <w:spacing w:line="276"/>
            </w:pPr>
            <w:r>
              <w:rPr>
                <w:rFonts w:ascii="Times New Roman" w:cs="Times New Roman" w:eastAsia="Times New Roman" w:hAnsi="Times New Roman"/>
                <w:sz w:val="20"/>
                <w:szCs w:val="20"/>
              </w:rPr>
              <w:t xml:space="preserve">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Selangor mencatatkan bilangan prospek tertinggi (443 atau 12.8%), diikuti Kelantan (401) dan Pahang (293 — negeri institusi TVET Lipis). Taburan geografi yang merangkumi seluruh Semenanjung Malaysia ini membuktikan keberkesanan Meta Ads dan TikTok Ads dalam menjangkau audiens jauh melepasi kawasan sasaran asal. Ini mencerminkan kelebihan iklan digital dalam mengatasi sempadan geografi bagi institusi di kawasan pedalaman.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F-1: CRM TVET Lipis → All Leads → Tapis tarikh Jan-Jun 2026 → Screenshot senarai lead (Nama, Kursus, Sumber, Peringkat)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F-2: CRM → Dashboard → Screenshot paparan carta pipeline dan statistik keseluruhan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F-3: CRM → Tapis Stage = "Customer" → Screenshot 16 pelajar berdaftar (tunjukkan kursus dan sumber mereka) ]</w:t>
      </w:r>
    </w:p>
    <w:p>
      <w:pPr>
        <w:spacing w:after="120" w:before="360" w:line="360" w:lineRule="auto"/>
      </w:pPr>
      <w:r>
        <w:rPr>
          <w:rFonts w:ascii="Times New Roman" w:cs="Times New Roman" w:eastAsia="Times New Roman" w:hAnsi="Times New Roman"/>
          <w:b/>
          <w:bCs/>
          <w:sz w:val="24"/>
          <w:szCs w:val="24"/>
          <w:u w:val="single"/>
        </w:rPr>
        <w:t xml:space="preserve">3.8  Analisis Keberkesanan Kos Kempen Iklan Berbayar</w:t>
      </w:r>
    </w:p>
    <w:p>
      <w:pPr>
        <w:spacing w:after="240" w:before="0" w:line="360" w:lineRule="auto"/>
      </w:pPr>
      <w:r>
        <w:rPr>
          <w:rFonts w:ascii="Times New Roman" w:cs="Times New Roman" w:eastAsia="Times New Roman" w:hAnsi="Times New Roman"/>
          <w:sz w:val="24"/>
          <w:szCs w:val="24"/>
        </w:rPr>
        <w:t xml:space="preserve">Seksyen ini menilai keberkesanan kos kempen iklan berbayar dengan mengira Kos Per Prospek (Cost Per Lead, CPL), iaitu metrik utama bagi menilai kecekapan perbelanjaan kempen penjanaan prospek. Data perbelanjaan diperoleh daripada penyata bil rasmi Meta Platforms Ireland Limited bagi tempoh 1 Januari hingga 1 Julai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3.14: Ringkasan Perbelanjaan dan Kos Per Prospek Mengikut Platform (asas: penyata bil platform dan rekod prospek CRM)</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0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Platform Iklan</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Prospek Dijana</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Kos Per Prospek (RM)</w:t>
            </w:r>
          </w:p>
        </w:tc>
      </w:tr>
      <w:tr>
        <w:tc>
          <w:tcPr>
            <w:tcW w:type="dxa" w:w="3000"/>
          </w:tcPr>
          <w:p>
            <w:pPr>
              <w:spacing w:line="276"/>
            </w:pPr>
            <w:r>
              <w:rPr>
                <w:rFonts w:ascii="Times New Roman" w:cs="Times New Roman" w:eastAsia="Times New Roman" w:hAnsi="Times New Roman"/>
                <w:sz w:val="20"/>
                <w:szCs w:val="20"/>
              </w:rPr>
              <w:t xml:space="preserve">Meta Ads (Facebook &amp; Instagram)</w:t>
            </w:r>
          </w:p>
        </w:tc>
        <w:tc>
          <w:tcPr>
            <w:tcW w:type="dxa" w:w="2200"/>
          </w:tcPr>
          <w:p>
            <w:pPr>
              <w:spacing w:line="276"/>
            </w:pPr>
            <w:r>
              <w:rPr>
                <w:rFonts w:ascii="Times New Roman" w:cs="Times New Roman" w:eastAsia="Times New Roman" w:hAnsi="Times New Roman"/>
                <w:sz w:val="20"/>
                <w:szCs w:val="20"/>
              </w:rPr>
              <w:t xml:space="preserve">9,987.56</w:t>
            </w:r>
          </w:p>
        </w:tc>
        <w:tc>
          <w:tcPr>
            <w:tcW w:type="dxa" w:w="2000"/>
          </w:tcPr>
          <w:p>
            <w:pPr>
              <w:spacing w:line="276"/>
            </w:pPr>
            <w:r>
              <w:rPr>
                <w:rFonts w:ascii="Times New Roman" w:cs="Times New Roman" w:eastAsia="Times New Roman" w:hAnsi="Times New Roman"/>
                <w:sz w:val="20"/>
                <w:szCs w:val="20"/>
              </w:rPr>
              <w:t xml:space="preserve">2,336</w:t>
            </w:r>
          </w:p>
        </w:tc>
        <w:tc>
          <w:tcPr>
            <w:tcW w:type="dxa" w:w="2160"/>
          </w:tcPr>
          <w:p>
            <w:pPr>
              <w:spacing w:line="276"/>
            </w:pPr>
            <w:r>
              <w:rPr>
                <w:rFonts w:ascii="Times New Roman" w:cs="Times New Roman" w:eastAsia="Times New Roman" w:hAnsi="Times New Roman"/>
                <w:sz w:val="20"/>
                <w:szCs w:val="20"/>
              </w:rPr>
              <w:t xml:space="preserve">4.28</w:t>
            </w:r>
          </w:p>
        </w:tc>
      </w:tr>
      <w:tr>
        <w:tc>
          <w:tcPr>
            <w:tcW w:type="dxa" w:w="3000"/>
          </w:tcPr>
          <w:p>
            <w:pPr>
              <w:spacing w:line="276"/>
            </w:pPr>
            <w:r>
              <w:rPr>
                <w:rFonts w:ascii="Times New Roman" w:cs="Times New Roman" w:eastAsia="Times New Roman" w:hAnsi="Times New Roman"/>
                <w:sz w:val="20"/>
                <w:szCs w:val="20"/>
              </w:rPr>
              <w:t xml:space="preserve">TikTok Ads</w:t>
            </w:r>
          </w:p>
        </w:tc>
        <w:tc>
          <w:tcPr>
            <w:tcW w:type="dxa" w:w="2200"/>
          </w:tcPr>
          <w:p>
            <w:pPr>
              <w:spacing w:line="276"/>
            </w:pPr>
            <w:r>
              <w:rPr>
                <w:rFonts w:ascii="Times New Roman" w:cs="Times New Roman" w:eastAsia="Times New Roman" w:hAnsi="Times New Roman"/>
                <w:sz w:val="20"/>
                <w:szCs w:val="20"/>
              </w:rPr>
              <w:t xml:space="preserve">2,304.83</w:t>
            </w:r>
          </w:p>
        </w:tc>
        <w:tc>
          <w:tcPr>
            <w:tcW w:type="dxa" w:w="2000"/>
          </w:tcPr>
          <w:p>
            <w:pPr>
              <w:spacing w:line="276"/>
            </w:pPr>
            <w:r>
              <w:rPr>
                <w:rFonts w:ascii="Times New Roman" w:cs="Times New Roman" w:eastAsia="Times New Roman" w:hAnsi="Times New Roman"/>
                <w:sz w:val="20"/>
                <w:szCs w:val="20"/>
              </w:rPr>
              <w:t xml:space="preserve">1,134</w:t>
            </w:r>
          </w:p>
        </w:tc>
        <w:tc>
          <w:tcPr>
            <w:tcW w:type="dxa" w:w="2160"/>
          </w:tcPr>
          <w:p>
            <w:pPr>
              <w:spacing w:line="276"/>
            </w:pPr>
            <w:r>
              <w:rPr>
                <w:rFonts w:ascii="Times New Roman" w:cs="Times New Roman" w:eastAsia="Times New Roman" w:hAnsi="Times New Roman"/>
                <w:sz w:val="20"/>
                <w:szCs w:val="20"/>
              </w:rPr>
              <w:t xml:space="preserve">2.03</w:t>
            </w:r>
          </w:p>
        </w:tc>
      </w:tr>
      <w:tr>
        <w:tc>
          <w:tcPr>
            <w:tcW w:type="dxa" w:w="3000"/>
          </w:tcPr>
          <w:p>
            <w:pPr>
              <w:spacing w:line="276"/>
            </w:pPr>
            <w:r>
              <w:rPr>
                <w:rFonts w:ascii="Times New Roman" w:cs="Times New Roman" w:eastAsia="Times New Roman" w:hAnsi="Times New Roman"/>
                <w:sz w:val="20"/>
                <w:szCs w:val="20"/>
              </w:rPr>
              <w:t xml:space="preserve">JUMLAH KESELURUHAN</w:t>
            </w:r>
          </w:p>
        </w:tc>
        <w:tc>
          <w:tcPr>
            <w:tcW w:type="dxa" w:w="2200"/>
          </w:tcPr>
          <w:p>
            <w:pPr>
              <w:spacing w:line="276"/>
            </w:pPr>
            <w:r>
              <w:rPr>
                <w:rFonts w:ascii="Times New Roman" w:cs="Times New Roman" w:eastAsia="Times New Roman" w:hAnsi="Times New Roman"/>
                <w:sz w:val="20"/>
                <w:szCs w:val="20"/>
              </w:rPr>
              <w:t xml:space="preserve">12,292.39</w:t>
            </w:r>
          </w:p>
        </w:tc>
        <w:tc>
          <w:tcPr>
            <w:tcW w:type="dxa" w:w="2000"/>
          </w:tcPr>
          <w:p>
            <w:pPr>
              <w:spacing w:line="276"/>
            </w:pPr>
            <w:r>
              <w:rPr>
                <w:rFonts w:ascii="Times New Roman" w:cs="Times New Roman" w:eastAsia="Times New Roman" w:hAnsi="Times New Roman"/>
                <w:sz w:val="20"/>
                <w:szCs w:val="20"/>
              </w:rPr>
              <w:t xml:space="preserve">3,470</w:t>
            </w:r>
          </w:p>
        </w:tc>
        <w:tc>
          <w:tcPr>
            <w:tcW w:type="dxa" w:w="2160"/>
          </w:tcPr>
          <w:p>
            <w:pPr>
              <w:spacing w:line="276"/>
            </w:pPr>
            <w:r>
              <w:rPr>
                <w:rFonts w:ascii="Times New Roman" w:cs="Times New Roman" w:eastAsia="Times New Roman" w:hAnsi="Times New Roman"/>
                <w:sz w:val="20"/>
                <w:szCs w:val="20"/>
              </w:rPr>
              <w:t xml:space="preserve">3.54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Keseluruhan kempen iklan berbayar melibatkan perbelanjaan RM12,292.39 bagi menjana 3,470 prospek, menghasilkan Kos Per Prospek gabungan sebanyak RM3.54. Setiap prospek merupakan individu yang secara sukarela memberikan nama, nombor telefon, kursus diminati dan negeri asal melalui borang Lead Generation.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mendedahkan perbezaan kecekapan kos yang ketara. TikTok Ads mencatatkan Kos Per Prospek sebanyak RM2.03 berbanding Meta Ads RM4.28 — iaitu 52.5% lebih rendah. Perbezaan ini menjadi lebih bermakna apabila dilihat dari sudut agihan sumber: TikTok Ads hanya menerima 18.8% daripada jumlah belanjawan iklan tetapi menyumbang 32.7% daripada keseluruhan prospek yang dijana. Dengan kata lain, setiap ringgit yang dibelanjakan di TikTok Ads menghasilkan lebih dua kali ganda bilangan prospek berbanding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Penjelasan Sumber Data dan Perbezaan Angka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sumber data digunakan dalam analisis kos ini, dan setiap satu mengukur perkara yang berbeza. Perbezaan antara angka-angka tersebut bukan percanggahan, sebaliknya mencerminkan sifat setiap sumber: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3.15: Perbandingan Sumber Data Kos dan Prospek Kempen Meta</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80"/>
        <w:gridCol w:w="388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Sumber Data</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Angka Direkodkan</w:t>
            </w:r>
          </w:p>
        </w:tc>
        <w:tc>
          <w:tcPr>
            <w:tcW w:type="dxa" w:w="3880"/>
            <w:shd w:fill="D9D9D9" w:color="D9D9D9" w:val="clear"/>
          </w:tcPr>
          <w:p>
            <w:pPr>
              <w:spacing w:line="276"/>
            </w:pPr>
            <w:r>
              <w:rPr>
                <w:rFonts w:ascii="Times New Roman" w:cs="Times New Roman" w:eastAsia="Times New Roman" w:hAnsi="Times New Roman"/>
                <w:b/>
                <w:bCs/>
                <w:sz w:val="20"/>
                <w:szCs w:val="20"/>
              </w:rPr>
              <w:t xml:space="preserve">Apa yang Diukur</w:t>
            </w:r>
          </w:p>
        </w:tc>
      </w:tr>
      <w:tr>
        <w:tc>
          <w:tcPr>
            <w:tcW w:type="dxa" w:w="2800"/>
          </w:tcPr>
          <w:p>
            <w:pPr>
              <w:spacing w:line="276"/>
            </w:pPr>
            <w:r>
              <w:rPr>
                <w:rFonts w:ascii="Times New Roman" w:cs="Times New Roman" w:eastAsia="Times New Roman" w:hAnsi="Times New Roman"/>
                <w:sz w:val="20"/>
                <w:szCs w:val="20"/>
              </w:rPr>
              <w:t xml:space="preserve">Penyata bil Meta Platforms</w:t>
            </w:r>
          </w:p>
        </w:tc>
        <w:tc>
          <w:tcPr>
            <w:tcW w:type="dxa" w:w="2680"/>
          </w:tcPr>
          <w:p>
            <w:pPr>
              <w:spacing w:line="276"/>
            </w:pPr>
            <w:r>
              <w:rPr>
                <w:rFonts w:ascii="Times New Roman" w:cs="Times New Roman" w:eastAsia="Times New Roman" w:hAnsi="Times New Roman"/>
                <w:sz w:val="20"/>
                <w:szCs w:val="20"/>
              </w:rPr>
              <w:t xml:space="preserve">RM9,987.56</w:t>
            </w:r>
          </w:p>
        </w:tc>
        <w:tc>
          <w:tcPr>
            <w:tcW w:type="dxa" w:w="3880"/>
          </w:tcPr>
          <w:p>
            <w:pPr>
              <w:spacing w:line="276"/>
            </w:pPr>
            <w:r>
              <w:rPr>
                <w:rFonts w:ascii="Times New Roman" w:cs="Times New Roman" w:eastAsia="Times New Roman" w:hAnsi="Times New Roman"/>
                <w:sz w:val="20"/>
                <w:szCs w:val="20"/>
              </w:rPr>
              <w:t xml:space="preserve">Wang sebenar dibayar antara 1 Jan – 1 Jul 2026</w:t>
            </w:r>
          </w:p>
        </w:tc>
      </w:tr>
      <w:tr>
        <w:tc>
          <w:tcPr>
            <w:tcW w:type="dxa" w:w="2800"/>
          </w:tcPr>
          <w:p>
            <w:pPr>
              <w:spacing w:line="276"/>
            </w:pPr>
            <w:r>
              <w:rPr>
                <w:rFonts w:ascii="Times New Roman" w:cs="Times New Roman" w:eastAsia="Times New Roman" w:hAnsi="Times New Roman"/>
                <w:sz w:val="20"/>
                <w:szCs w:val="20"/>
              </w:rPr>
              <w:t xml:space="preserve">Meta Ads Manager</w:t>
            </w:r>
          </w:p>
        </w:tc>
        <w:tc>
          <w:tcPr>
            <w:tcW w:type="dxa" w:w="2680"/>
          </w:tcPr>
          <w:p>
            <w:pPr>
              <w:spacing w:line="276"/>
            </w:pPr>
            <w:r>
              <w:rPr>
                <w:rFonts w:ascii="Times New Roman" w:cs="Times New Roman" w:eastAsia="Times New Roman" w:hAnsi="Times New Roman"/>
                <w:sz w:val="20"/>
                <w:szCs w:val="20"/>
              </w:rPr>
              <w:t xml:space="preserve">RM8,936.21 / 1,848 prospek</w:t>
            </w:r>
          </w:p>
        </w:tc>
        <w:tc>
          <w:tcPr>
            <w:tcW w:type="dxa" w:w="3880"/>
          </w:tcPr>
          <w:p>
            <w:pPr>
              <w:spacing w:line="276"/>
            </w:pPr>
            <w:r>
              <w:rPr>
                <w:rFonts w:ascii="Times New Roman" w:cs="Times New Roman" w:eastAsia="Times New Roman" w:hAnsi="Times New Roman"/>
                <w:sz w:val="20"/>
                <w:szCs w:val="20"/>
              </w:rPr>
              <w:t xml:space="preserve">Kos penyampaian iklan dan prospek dijana dalam tempoh 1 Jan – 30 Jun 2026</w:t>
            </w:r>
          </w:p>
        </w:tc>
      </w:tr>
      <w:tr>
        <w:tc>
          <w:tcPr>
            <w:tcW w:type="dxa" w:w="2800"/>
          </w:tcPr>
          <w:p>
            <w:pPr>
              <w:spacing w:line="276"/>
            </w:pPr>
            <w:r>
              <w:rPr>
                <w:rFonts w:ascii="Times New Roman" w:cs="Times New Roman" w:eastAsia="Times New Roman" w:hAnsi="Times New Roman"/>
                <w:sz w:val="20"/>
                <w:szCs w:val="20"/>
              </w:rPr>
              <w:t xml:space="preserve">Sistem CRM TVET Lipis</w:t>
            </w:r>
          </w:p>
        </w:tc>
        <w:tc>
          <w:tcPr>
            <w:tcW w:type="dxa" w:w="2680"/>
          </w:tcPr>
          <w:p>
            <w:pPr>
              <w:spacing w:line="276"/>
            </w:pPr>
            <w:r>
              <w:rPr>
                <w:rFonts w:ascii="Times New Roman" w:cs="Times New Roman" w:eastAsia="Times New Roman" w:hAnsi="Times New Roman"/>
                <w:sz w:val="20"/>
                <w:szCs w:val="20"/>
              </w:rPr>
              <w:t xml:space="preserve">2,336 prospek bersumber Meta</w:t>
            </w:r>
          </w:p>
        </w:tc>
        <w:tc>
          <w:tcPr>
            <w:tcW w:type="dxa" w:w="3880"/>
          </w:tcPr>
          <w:p>
            <w:pPr>
              <w:spacing w:line="276"/>
            </w:pPr>
            <w:r>
              <w:rPr>
                <w:rFonts w:ascii="Times New Roman" w:cs="Times New Roman" w:eastAsia="Times New Roman" w:hAnsi="Times New Roman"/>
                <w:sz w:val="20"/>
                <w:szCs w:val="20"/>
              </w:rPr>
              <w:t xml:space="preserve">Rekod prospek yang diterima dan disimpan oleh institusi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penyata bil (RM9,987.56) dan Meta Ads Manager (RM8,936.21) berpunca daripada kaedah pengebilan Meta yang mengenakan caj secara tertunggak. Bayaran pertama pada 3 Januari 2026 sebanyak RM807.09 sebenarnya menyelesaikan kos penyampaian iklan pada Disember 2025 — iaitu wang yang dibayar dalam tempoh kajian tetapi bagi iklan yang disampaikan sebelum tempoh tersebut bermula.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bilangan prospek dalam Ads Manager (1,848) dan CRM (2,336) pula berpunca daripada tiga faktor: pertama, terdapat 130 hasil berbentuk perbualan mesej (messaging conversations) yang direkodkan berasingan daripada prospek borang tetapi turut masuk ke dalam CRM; kedua, medan sumber dalam CRM merangkumi semua prospek berasal daripada platform Meta termasuk yang menghubungi secara organik tanpa melalui iklan; dan ketiga, terdapat kemungkinan rekod berulang apabila individu yang sama mengisi borang lebih daripada sekali.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Bagi tujuan analisis dalam LPKT ini, data Meta Ads Manager digunakan untuk penilaian kecekapan kempen kerana perbelanjaan dan prospek diukur oleh sistem yang sama dalam tempoh yang sama. Data CRM pula digunakan untuk analisis profil prospek mengikut kursus, umur dan lokasi kerana ia merupakan rekod sebenar maklumat yang diterima institusi. Kesedaran terhadap perbezaan sumber ini penting bagi memastikan setiap angka ditafsirkan mengikut konteks yang betul.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ini mengesahkan bahawa keputusan melancarkan TikTok Ads pada Mac 2026 — yang pada asalnya diambil sebagai tindak balas kepada penurunan prestasi Meta Ads pada Februari — adalah tepat dari dua sudut serentak: bukan sahaja TikTok Ads menjana jumlah prospek yang semakin meningkat setiap bulan, malah ia melakukannya pada kos per prospek yang jauh lebih rendah. Keputusan berasaskan data ini merupakan contoh konkrit amalan pengoptimuman kempen yang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3.16: Perbelanjaan Meta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Januari 2026</w:t>
            </w:r>
          </w:p>
        </w:tc>
        <w:tc>
          <w:tcPr>
            <w:tcW w:type="dxa" w:w="1900"/>
          </w:tcPr>
          <w:p>
            <w:pPr>
              <w:spacing w:line="276"/>
            </w:pPr>
            <w:r>
              <w:rPr>
                <w:rFonts w:ascii="Times New Roman" w:cs="Times New Roman" w:eastAsia="Times New Roman" w:hAnsi="Times New Roman"/>
                <w:sz w:val="20"/>
                <w:szCs w:val="20"/>
              </w:rPr>
              <w:t xml:space="preserve">1,767.02</w:t>
            </w:r>
          </w:p>
        </w:tc>
        <w:tc>
          <w:tcPr>
            <w:tcW w:type="dxa" w:w="1300"/>
          </w:tcPr>
          <w:p>
            <w:pPr>
              <w:spacing w:line="276"/>
            </w:pPr>
            <w:r>
              <w:rPr>
                <w:rFonts w:ascii="Times New Roman" w:cs="Times New Roman" w:eastAsia="Times New Roman" w:hAnsi="Times New Roman"/>
                <w:sz w:val="20"/>
                <w:szCs w:val="20"/>
              </w:rPr>
              <w:t xml:space="preserve">345</w:t>
            </w:r>
          </w:p>
        </w:tc>
        <w:tc>
          <w:tcPr>
            <w:tcW w:type="dxa" w:w="1300"/>
          </w:tcPr>
          <w:p>
            <w:pPr>
              <w:spacing w:line="276"/>
            </w:pPr>
            <w:r>
              <w:rPr>
                <w:rFonts w:ascii="Times New Roman" w:cs="Times New Roman" w:eastAsia="Times New Roman" w:hAnsi="Times New Roman"/>
                <w:sz w:val="20"/>
                <w:szCs w:val="20"/>
              </w:rPr>
              <w:t xml:space="preserve">5.12</w:t>
            </w:r>
          </w:p>
        </w:tc>
        <w:tc>
          <w:tcPr>
            <w:tcW w:type="dxa" w:w="3260"/>
          </w:tcPr>
          <w:p>
            <w:pPr>
              <w:spacing w:line="276"/>
            </w:pPr>
            <w:r>
              <w:rPr>
                <w:rFonts w:ascii="Times New Roman" w:cs="Times New Roman" w:eastAsia="Times New Roman" w:hAnsi="Times New Roman"/>
                <w:sz w:val="20"/>
                <w:szCs w:val="20"/>
              </w:rPr>
              <w:t xml:space="preserve">Kempen dilancarkan</w:t>
            </w:r>
          </w:p>
        </w:tc>
      </w:tr>
      <w:tr>
        <w:tc>
          <w:tcPr>
            <w:tcW w:type="dxa" w:w="1600"/>
          </w:tcPr>
          <w:p>
            <w:pPr>
              <w:spacing w:line="276"/>
            </w:pPr>
            <w:r>
              <w:rPr>
                <w:rFonts w:ascii="Times New Roman" w:cs="Times New Roman" w:eastAsia="Times New Roman" w:hAnsi="Times New Roman"/>
                <w:sz w:val="20"/>
                <w:szCs w:val="20"/>
              </w:rPr>
              <w:t xml:space="preserve">Februari 2026</w:t>
            </w:r>
          </w:p>
        </w:tc>
        <w:tc>
          <w:tcPr>
            <w:tcW w:type="dxa" w:w="1900"/>
          </w:tcPr>
          <w:p>
            <w:pPr>
              <w:spacing w:line="276"/>
            </w:pPr>
            <w:r>
              <w:rPr>
                <w:rFonts w:ascii="Times New Roman" w:cs="Times New Roman" w:eastAsia="Times New Roman" w:hAnsi="Times New Roman"/>
                <w:sz w:val="20"/>
                <w:szCs w:val="20"/>
              </w:rPr>
              <w:t xml:space="preserve">1,283.14</w:t>
            </w:r>
          </w:p>
        </w:tc>
        <w:tc>
          <w:tcPr>
            <w:tcW w:type="dxa" w:w="1300"/>
          </w:tcPr>
          <w:p>
            <w:pPr>
              <w:spacing w:line="276"/>
            </w:pPr>
            <w:r>
              <w:rPr>
                <w:rFonts w:ascii="Times New Roman" w:cs="Times New Roman" w:eastAsia="Times New Roman" w:hAnsi="Times New Roman"/>
                <w:sz w:val="20"/>
                <w:szCs w:val="20"/>
              </w:rPr>
              <w:t xml:space="preserve">133</w:t>
            </w:r>
          </w:p>
        </w:tc>
        <w:tc>
          <w:tcPr>
            <w:tcW w:type="dxa" w:w="1300"/>
          </w:tcPr>
          <w:p>
            <w:pPr>
              <w:spacing w:line="276"/>
            </w:pPr>
            <w:r>
              <w:rPr>
                <w:rFonts w:ascii="Times New Roman" w:cs="Times New Roman" w:eastAsia="Times New Roman" w:hAnsi="Times New Roman"/>
                <w:sz w:val="20"/>
                <w:szCs w:val="20"/>
              </w:rPr>
              <w:t xml:space="preserve">9.65</w:t>
            </w:r>
          </w:p>
        </w:tc>
        <w:tc>
          <w:tcPr>
            <w:tcW w:type="dxa" w:w="3260"/>
          </w:tcPr>
          <w:p>
            <w:pPr>
              <w:spacing w:line="276"/>
            </w:pPr>
            <w:r>
              <w:rPr>
                <w:rFonts w:ascii="Times New Roman" w:cs="Times New Roman" w:eastAsia="Times New Roman" w:hAnsi="Times New Roman"/>
                <w:sz w:val="20"/>
                <w:szCs w:val="20"/>
              </w:rPr>
              <w:t xml:space="preserve">CPL tertinggi — mencetuskan tindakan pembetulan</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3,733.04</w:t>
            </w:r>
          </w:p>
        </w:tc>
        <w:tc>
          <w:tcPr>
            <w:tcW w:type="dxa" w:w="1300"/>
          </w:tcPr>
          <w:p>
            <w:pPr>
              <w:spacing w:line="276"/>
            </w:pPr>
            <w:r>
              <w:rPr>
                <w:rFonts w:ascii="Times New Roman" w:cs="Times New Roman" w:eastAsia="Times New Roman" w:hAnsi="Times New Roman"/>
                <w:sz w:val="20"/>
                <w:szCs w:val="20"/>
              </w:rPr>
              <w:t xml:space="preserve">778</w:t>
            </w:r>
          </w:p>
        </w:tc>
        <w:tc>
          <w:tcPr>
            <w:tcW w:type="dxa" w:w="1300"/>
          </w:tcPr>
          <w:p>
            <w:pPr>
              <w:spacing w:line="276"/>
            </w:pPr>
            <w:r>
              <w:rPr>
                <w:rFonts w:ascii="Times New Roman" w:cs="Times New Roman" w:eastAsia="Times New Roman" w:hAnsi="Times New Roman"/>
                <w:sz w:val="20"/>
                <w:szCs w:val="20"/>
              </w:rPr>
              <w:t xml:space="preserve">4.80</w:t>
            </w:r>
          </w:p>
        </w:tc>
        <w:tc>
          <w:tcPr>
            <w:tcW w:type="dxa" w:w="3260"/>
          </w:tcPr>
          <w:p>
            <w:pPr>
              <w:spacing w:line="276"/>
            </w:pPr>
            <w:r>
              <w:rPr>
                <w:rFonts w:ascii="Times New Roman" w:cs="Times New Roman" w:eastAsia="Times New Roman" w:hAnsi="Times New Roman"/>
                <w:sz w:val="20"/>
                <w:szCs w:val="20"/>
              </w:rPr>
              <w:t xml:space="preserve">Kreatif diperbaharui; TikTok Ads dilancarkan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2,651.77</w:t>
            </w:r>
          </w:p>
        </w:tc>
        <w:tc>
          <w:tcPr>
            <w:tcW w:type="dxa" w:w="1300"/>
          </w:tcPr>
          <w:p>
            <w:pPr>
              <w:spacing w:line="276"/>
            </w:pPr>
            <w:r>
              <w:rPr>
                <w:rFonts w:ascii="Times New Roman" w:cs="Times New Roman" w:eastAsia="Times New Roman" w:hAnsi="Times New Roman"/>
                <w:sz w:val="20"/>
                <w:szCs w:val="20"/>
              </w:rPr>
              <w:t xml:space="preserve">798</w:t>
            </w:r>
          </w:p>
        </w:tc>
        <w:tc>
          <w:tcPr>
            <w:tcW w:type="dxa" w:w="1300"/>
          </w:tcPr>
          <w:p>
            <w:pPr>
              <w:spacing w:line="276"/>
            </w:pPr>
            <w:r>
              <w:rPr>
                <w:rFonts w:ascii="Times New Roman" w:cs="Times New Roman" w:eastAsia="Times New Roman" w:hAnsi="Times New Roman"/>
                <w:sz w:val="20"/>
                <w:szCs w:val="20"/>
              </w:rPr>
              <w:t xml:space="preserve">3.32</w:t>
            </w:r>
          </w:p>
        </w:tc>
        <w:tc>
          <w:tcPr>
            <w:tcW w:type="dxa" w:w="3260"/>
          </w:tcPr>
          <w:p>
            <w:pPr>
              <w:spacing w:line="276"/>
            </w:pPr>
            <w:r>
              <w:rPr>
                <w:rFonts w:ascii="Times New Roman" w:cs="Times New Roman" w:eastAsia="Times New Roman" w:hAnsi="Times New Roman"/>
                <w:sz w:val="20"/>
                <w:szCs w:val="20"/>
              </w:rPr>
              <w:t xml:space="preserve">CPL paling cekap sepanjang kempen</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0.00</w:t>
            </w:r>
          </w:p>
        </w:tc>
        <w:tc>
          <w:tcPr>
            <w:tcW w:type="dxa" w:w="1300"/>
          </w:tcPr>
          <w:p>
            <w:pPr>
              <w:spacing w:line="276"/>
            </w:pPr>
            <w:r>
              <w:rPr>
                <w:rFonts w:ascii="Times New Roman" w:cs="Times New Roman" w:eastAsia="Times New Roman" w:hAnsi="Times New Roman"/>
                <w:sz w:val="20"/>
                <w:szCs w:val="20"/>
              </w:rPr>
              <w:t xml:space="preserve">226</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Tiada bil baharu direkodkan dalam tempoh</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552.59</w:t>
            </w:r>
          </w:p>
        </w:tc>
        <w:tc>
          <w:tcPr>
            <w:tcW w:type="dxa" w:w="1300"/>
          </w:tcPr>
          <w:p>
            <w:pPr>
              <w:spacing w:line="276"/>
            </w:pPr>
            <w:r>
              <w:rPr>
                <w:rFonts w:ascii="Times New Roman" w:cs="Times New Roman" w:eastAsia="Times New Roman" w:hAnsi="Times New Roman"/>
                <w:sz w:val="20"/>
                <w:szCs w:val="20"/>
              </w:rPr>
              <w:t xml:space="preserve">56</w:t>
            </w:r>
          </w:p>
        </w:tc>
        <w:tc>
          <w:tcPr>
            <w:tcW w:type="dxa" w:w="1300"/>
          </w:tcPr>
          <w:p>
            <w:pPr>
              <w:spacing w:line="276"/>
            </w:pPr>
            <w:r>
              <w:rPr>
                <w:rFonts w:ascii="Times New Roman" w:cs="Times New Roman" w:eastAsia="Times New Roman" w:hAnsi="Times New Roman"/>
                <w:sz w:val="20"/>
                <w:szCs w:val="20"/>
              </w:rPr>
              <w:t xml:space="preserve">9.87</w:t>
            </w:r>
          </w:p>
        </w:tc>
        <w:tc>
          <w:tcPr>
            <w:tcW w:type="dxa" w:w="3260"/>
          </w:tcPr>
          <w:p>
            <w:pPr>
              <w:spacing w:line="276"/>
            </w:pPr>
            <w:r>
              <w:rPr>
                <w:rFonts w:ascii="Times New Roman" w:cs="Times New Roman" w:eastAsia="Times New Roman" w:hAnsi="Times New Roman"/>
                <w:sz w:val="20"/>
                <w:szCs w:val="20"/>
              </w:rPr>
              <w:t xml:space="preserve">Belanjawan dikurangkan; tumpuan beralih ke TikTok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9,987.56</w:t>
            </w:r>
          </w:p>
        </w:tc>
        <w:tc>
          <w:tcPr>
            <w:tcW w:type="dxa" w:w="1300"/>
          </w:tcPr>
          <w:p>
            <w:pPr>
              <w:spacing w:line="276"/>
            </w:pPr>
            <w:r>
              <w:rPr>
                <w:rFonts w:ascii="Times New Roman" w:cs="Times New Roman" w:eastAsia="Times New Roman" w:hAnsi="Times New Roman"/>
                <w:sz w:val="20"/>
                <w:szCs w:val="20"/>
              </w:rPr>
              <w:t xml:space="preserve">2,336</w:t>
            </w:r>
          </w:p>
        </w:tc>
        <w:tc>
          <w:tcPr>
            <w:tcW w:type="dxa" w:w="1300"/>
          </w:tcPr>
          <w:p>
            <w:pPr>
              <w:spacing w:line="276"/>
            </w:pPr>
            <w:r>
              <w:rPr>
                <w:rFonts w:ascii="Times New Roman" w:cs="Times New Roman" w:eastAsia="Times New Roman" w:hAnsi="Times New Roman"/>
                <w:sz w:val="20"/>
                <w:szCs w:val="20"/>
              </w:rPr>
              <w:t xml:space="preserve">4.28</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Pecahan bulanan disusun mengikut tarikh bil Meta. Memandangkan Meta mengenakan caj apabila ambang pembayaran dicapai dan bukan pada tarikh tetap setiap bulan, tarikh bil tidak semestinya sepadan tepat dengan bulan penyampaian iklan. Jumlah keseluruhan RM9,987.56 adalah tepat bagi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bulanan menunjukkan corak pengoptimuman yang jelas. Kos Per Prospek meningkat kepada RM9.65 pada Februari 2026 — hampir dua kali ganda berbanding Januari — yang menandakan kemerosotan kecekapan kempen. Data ini menjadi asas kepada dua tindakan pembetulan yang dilaksanakan pada Mac 2026: pembaharuan kreatif iklan dan pembukaan saluran kedua melalui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Kesan tindakan tersebut dapat dilihat dengan jelas. Kos Per Prospek menurun kepada RM4.80 pada Mac dan seterusnya RM3.32 pada April 2026 — iaitu penambahbaikan sebanyak 65.6% berbanding paras tertinggi Februari, sekali gus menjadikan April bulan paling cekap sepanjang kempen. Ini mengesahkan bahawa pemantauan metrik kos secara berkala dan tindakan pembetulan berasaskan data mampu meningkatkan kecekapan perbelanjaan iklan dengan ketara.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Peningkatan semula Kos Per Prospek kepada RM9.87 pada Jun 2026 berlaku seiring dengan pengurangan belanjawan Meta Ads apabila tumpuan dialihkan kepada TikTok Ads. Pada bulan tersebut, TikTok Ads menjana 254 prospek berbanding Meta Ads 56 prospek, menunjukkan peralihan keberkesanan saluran menjelang penghujung tempoh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pada peringkat set iklan mendedahkan julat kecekapan kos yang luas dalam kempen Meta Ads. Jadual 3.17 menyusun kesemua set iklan berorientasikan borang prospek mengikut Kos Per Prospek, daripada yang paling cekap kepada yang paling mahal.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3.17: Kecekapan Set Iklan Meta Ads Mengikut Kos Per Prospek (Sumber: Meta Ads Manager)</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300"/>
        <w:gridCol w:w="1300"/>
        <w:gridCol w:w="3060"/>
      </w:tblGrid>
      <w:tr>
        <w:tc>
          <w:tcPr>
            <w:tcW w:type="dxa" w:w="1800"/>
            <w:shd w:fill="D9D9D9" w:color="D9D9D9" w:val="clear"/>
          </w:tcPr>
          <w:p>
            <w:pPr>
              <w:spacing w:line="276"/>
            </w:pPr>
            <w:r>
              <w:rPr>
                <w:rFonts w:ascii="Times New Roman" w:cs="Times New Roman" w:eastAsia="Times New Roman" w:hAnsi="Times New Roman"/>
                <w:b/>
                <w:bCs/>
                <w:sz w:val="20"/>
                <w:szCs w:val="20"/>
              </w:rPr>
              <w:t xml:space="preserve">Set Iklan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060"/>
            <w:shd w:fill="D9D9D9" w:color="D9D9D9" w:val="clear"/>
          </w:tcPr>
          <w:p>
            <w:pPr>
              <w:spacing w:line="276"/>
            </w:pPr>
            <w:r>
              <w:rPr>
                <w:rFonts w:ascii="Times New Roman" w:cs="Times New Roman" w:eastAsia="Times New Roman" w:hAnsi="Times New Roman"/>
                <w:b/>
                <w:bCs/>
                <w:sz w:val="20"/>
                <w:szCs w:val="20"/>
              </w:rPr>
              <w:t xml:space="preserve">Kategori Kecekapan</w:t>
            </w:r>
          </w:p>
        </w:tc>
      </w:tr>
      <w:tr>
        <w:tc>
          <w:tcPr>
            <w:tcW w:type="dxa" w:w="1800"/>
          </w:tcPr>
          <w:p>
            <w:pPr>
              <w:spacing w:line="276"/>
            </w:pPr>
            <w:r>
              <w:rPr>
                <w:rFonts w:ascii="Times New Roman" w:cs="Times New Roman" w:eastAsia="Times New Roman" w:hAnsi="Times New Roman"/>
                <w:sz w:val="20"/>
                <w:szCs w:val="20"/>
              </w:rPr>
              <w:t xml:space="preserve">Set Iklan A</w:t>
            </w:r>
          </w:p>
        </w:tc>
        <w:tc>
          <w:tcPr>
            <w:tcW w:type="dxa" w:w="1900"/>
          </w:tcPr>
          <w:p>
            <w:pPr>
              <w:spacing w:line="276"/>
            </w:pPr>
            <w:r>
              <w:rPr>
                <w:rFonts w:ascii="Times New Roman" w:cs="Times New Roman" w:eastAsia="Times New Roman" w:hAnsi="Times New Roman"/>
                <w:sz w:val="20"/>
                <w:szCs w:val="20"/>
              </w:rPr>
              <w:t xml:space="preserve">421.45</w:t>
            </w:r>
          </w:p>
        </w:tc>
        <w:tc>
          <w:tcPr>
            <w:tcW w:type="dxa" w:w="1300"/>
          </w:tcPr>
          <w:p>
            <w:pPr>
              <w:spacing w:line="276"/>
            </w:pPr>
            <w:r>
              <w:rPr>
                <w:rFonts w:ascii="Times New Roman" w:cs="Times New Roman" w:eastAsia="Times New Roman" w:hAnsi="Times New Roman"/>
                <w:sz w:val="20"/>
                <w:szCs w:val="20"/>
              </w:rPr>
              <w:t xml:space="preserve">143</w:t>
            </w:r>
          </w:p>
        </w:tc>
        <w:tc>
          <w:tcPr>
            <w:tcW w:type="dxa" w:w="1300"/>
          </w:tcPr>
          <w:p>
            <w:pPr>
              <w:spacing w:line="276"/>
            </w:pPr>
            <w:r>
              <w:rPr>
                <w:rFonts w:ascii="Times New Roman" w:cs="Times New Roman" w:eastAsia="Times New Roman" w:hAnsi="Times New Roman"/>
                <w:sz w:val="20"/>
                <w:szCs w:val="20"/>
              </w:rPr>
              <w:t xml:space="preserve">2.95</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B</w:t>
            </w:r>
          </w:p>
        </w:tc>
        <w:tc>
          <w:tcPr>
            <w:tcW w:type="dxa" w:w="1900"/>
          </w:tcPr>
          <w:p>
            <w:pPr>
              <w:spacing w:line="276"/>
            </w:pPr>
            <w:r>
              <w:rPr>
                <w:rFonts w:ascii="Times New Roman" w:cs="Times New Roman" w:eastAsia="Times New Roman" w:hAnsi="Times New Roman"/>
                <w:sz w:val="20"/>
                <w:szCs w:val="20"/>
              </w:rPr>
              <w:t xml:space="preserve">142.32</w:t>
            </w:r>
          </w:p>
        </w:tc>
        <w:tc>
          <w:tcPr>
            <w:tcW w:type="dxa" w:w="1300"/>
          </w:tcPr>
          <w:p>
            <w:pPr>
              <w:spacing w:line="276"/>
            </w:pPr>
            <w:r>
              <w:rPr>
                <w:rFonts w:ascii="Times New Roman" w:cs="Times New Roman" w:eastAsia="Times New Roman" w:hAnsi="Times New Roman"/>
                <w:sz w:val="20"/>
                <w:szCs w:val="20"/>
              </w:rPr>
              <w:t xml:space="preserve">45</w:t>
            </w:r>
          </w:p>
        </w:tc>
        <w:tc>
          <w:tcPr>
            <w:tcW w:type="dxa" w:w="1300"/>
          </w:tcPr>
          <w:p>
            <w:pPr>
              <w:spacing w:line="276"/>
            </w:pPr>
            <w:r>
              <w:rPr>
                <w:rFonts w:ascii="Times New Roman" w:cs="Times New Roman" w:eastAsia="Times New Roman" w:hAnsi="Times New Roman"/>
                <w:sz w:val="20"/>
                <w:szCs w:val="20"/>
              </w:rPr>
              <w:t xml:space="preserve">3.16</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C</w:t>
            </w:r>
          </w:p>
        </w:tc>
        <w:tc>
          <w:tcPr>
            <w:tcW w:type="dxa" w:w="1900"/>
          </w:tcPr>
          <w:p>
            <w:pPr>
              <w:spacing w:line="276"/>
            </w:pPr>
            <w:r>
              <w:rPr>
                <w:rFonts w:ascii="Times New Roman" w:cs="Times New Roman" w:eastAsia="Times New Roman" w:hAnsi="Times New Roman"/>
                <w:sz w:val="20"/>
                <w:szCs w:val="20"/>
              </w:rPr>
              <w:t xml:space="preserve">1,411.77</w:t>
            </w:r>
          </w:p>
        </w:tc>
        <w:tc>
          <w:tcPr>
            <w:tcW w:type="dxa" w:w="1300"/>
          </w:tcPr>
          <w:p>
            <w:pPr>
              <w:spacing w:line="276"/>
            </w:pPr>
            <w:r>
              <w:rPr>
                <w:rFonts w:ascii="Times New Roman" w:cs="Times New Roman" w:eastAsia="Times New Roman" w:hAnsi="Times New Roman"/>
                <w:sz w:val="20"/>
                <w:szCs w:val="20"/>
              </w:rPr>
              <w:t xml:space="preserve">373</w:t>
            </w:r>
          </w:p>
        </w:tc>
        <w:tc>
          <w:tcPr>
            <w:tcW w:type="dxa" w:w="1300"/>
          </w:tcPr>
          <w:p>
            <w:pPr>
              <w:spacing w:line="276"/>
            </w:pPr>
            <w:r>
              <w:rPr>
                <w:rFonts w:ascii="Times New Roman" w:cs="Times New Roman" w:eastAsia="Times New Roman" w:hAnsi="Times New Roman"/>
                <w:sz w:val="20"/>
                <w:szCs w:val="20"/>
              </w:rPr>
              <w:t xml:space="preserve">3.78</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D</w:t>
            </w:r>
          </w:p>
        </w:tc>
        <w:tc>
          <w:tcPr>
            <w:tcW w:type="dxa" w:w="1900"/>
          </w:tcPr>
          <w:p>
            <w:pPr>
              <w:spacing w:line="276"/>
            </w:pPr>
            <w:r>
              <w:rPr>
                <w:rFonts w:ascii="Times New Roman" w:cs="Times New Roman" w:eastAsia="Times New Roman" w:hAnsi="Times New Roman"/>
                <w:sz w:val="20"/>
                <w:szCs w:val="20"/>
              </w:rPr>
              <w:t xml:space="preserve">2,651.70</w:t>
            </w:r>
          </w:p>
        </w:tc>
        <w:tc>
          <w:tcPr>
            <w:tcW w:type="dxa" w:w="1300"/>
          </w:tcPr>
          <w:p>
            <w:pPr>
              <w:spacing w:line="276"/>
            </w:pPr>
            <w:r>
              <w:rPr>
                <w:rFonts w:ascii="Times New Roman" w:cs="Times New Roman" w:eastAsia="Times New Roman" w:hAnsi="Times New Roman"/>
                <w:sz w:val="20"/>
                <w:szCs w:val="20"/>
              </w:rPr>
              <w:t xml:space="preserve">616</w:t>
            </w:r>
          </w:p>
        </w:tc>
        <w:tc>
          <w:tcPr>
            <w:tcW w:type="dxa" w:w="1300"/>
          </w:tcPr>
          <w:p>
            <w:pPr>
              <w:spacing w:line="276"/>
            </w:pPr>
            <w:r>
              <w:rPr>
                <w:rFonts w:ascii="Times New Roman" w:cs="Times New Roman" w:eastAsia="Times New Roman" w:hAnsi="Times New Roman"/>
                <w:sz w:val="20"/>
                <w:szCs w:val="20"/>
              </w:rPr>
              <w:t xml:space="preserve">4.30</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E</w:t>
            </w:r>
          </w:p>
        </w:tc>
        <w:tc>
          <w:tcPr>
            <w:tcW w:type="dxa" w:w="1900"/>
          </w:tcPr>
          <w:p>
            <w:pPr>
              <w:spacing w:line="276"/>
            </w:pPr>
            <w:r>
              <w:rPr>
                <w:rFonts w:ascii="Times New Roman" w:cs="Times New Roman" w:eastAsia="Times New Roman" w:hAnsi="Times New Roman"/>
                <w:sz w:val="20"/>
                <w:szCs w:val="20"/>
              </w:rPr>
              <w:t xml:space="preserve">310.72</w:t>
            </w:r>
          </w:p>
        </w:tc>
        <w:tc>
          <w:tcPr>
            <w:tcW w:type="dxa" w:w="1300"/>
          </w:tcPr>
          <w:p>
            <w:pPr>
              <w:spacing w:line="276"/>
            </w:pPr>
            <w:r>
              <w:rPr>
                <w:rFonts w:ascii="Times New Roman" w:cs="Times New Roman" w:eastAsia="Times New Roman" w:hAnsi="Times New Roman"/>
                <w:sz w:val="20"/>
                <w:szCs w:val="20"/>
              </w:rPr>
              <w:t xml:space="preserve">66</w:t>
            </w:r>
          </w:p>
        </w:tc>
        <w:tc>
          <w:tcPr>
            <w:tcW w:type="dxa" w:w="1300"/>
          </w:tcPr>
          <w:p>
            <w:pPr>
              <w:spacing w:line="276"/>
            </w:pPr>
            <w:r>
              <w:rPr>
                <w:rFonts w:ascii="Times New Roman" w:cs="Times New Roman" w:eastAsia="Times New Roman" w:hAnsi="Times New Roman"/>
                <w:sz w:val="20"/>
                <w:szCs w:val="20"/>
              </w:rPr>
              <w:t xml:space="preserve">4.71</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F</w:t>
            </w:r>
          </w:p>
        </w:tc>
        <w:tc>
          <w:tcPr>
            <w:tcW w:type="dxa" w:w="1900"/>
          </w:tcPr>
          <w:p>
            <w:pPr>
              <w:spacing w:line="276"/>
            </w:pPr>
            <w:r>
              <w:rPr>
                <w:rFonts w:ascii="Times New Roman" w:cs="Times New Roman" w:eastAsia="Times New Roman" w:hAnsi="Times New Roman"/>
                <w:sz w:val="20"/>
                <w:szCs w:val="20"/>
              </w:rPr>
              <w:t xml:space="preserve">1,172.06</w:t>
            </w:r>
          </w:p>
        </w:tc>
        <w:tc>
          <w:tcPr>
            <w:tcW w:type="dxa" w:w="1300"/>
          </w:tcPr>
          <w:p>
            <w:pPr>
              <w:spacing w:line="276"/>
            </w:pPr>
            <w:r>
              <w:rPr>
                <w:rFonts w:ascii="Times New Roman" w:cs="Times New Roman" w:eastAsia="Times New Roman" w:hAnsi="Times New Roman"/>
                <w:sz w:val="20"/>
                <w:szCs w:val="20"/>
              </w:rPr>
              <w:t xml:space="preserve">228</w:t>
            </w:r>
          </w:p>
        </w:tc>
        <w:tc>
          <w:tcPr>
            <w:tcW w:type="dxa" w:w="1300"/>
          </w:tcPr>
          <w:p>
            <w:pPr>
              <w:spacing w:line="276"/>
            </w:pPr>
            <w:r>
              <w:rPr>
                <w:rFonts w:ascii="Times New Roman" w:cs="Times New Roman" w:eastAsia="Times New Roman" w:hAnsi="Times New Roman"/>
                <w:sz w:val="20"/>
                <w:szCs w:val="20"/>
              </w:rPr>
              <w:t xml:space="preserve">5.14</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G</w:t>
            </w:r>
          </w:p>
        </w:tc>
        <w:tc>
          <w:tcPr>
            <w:tcW w:type="dxa" w:w="1900"/>
          </w:tcPr>
          <w:p>
            <w:pPr>
              <w:spacing w:line="276"/>
            </w:pPr>
            <w:r>
              <w:rPr>
                <w:rFonts w:ascii="Times New Roman" w:cs="Times New Roman" w:eastAsia="Times New Roman" w:hAnsi="Times New Roman"/>
                <w:sz w:val="20"/>
                <w:szCs w:val="20"/>
              </w:rPr>
              <w:t xml:space="preserve">183.40</w:t>
            </w:r>
          </w:p>
        </w:tc>
        <w:tc>
          <w:tcPr>
            <w:tcW w:type="dxa" w:w="1300"/>
          </w:tcPr>
          <w:p>
            <w:pPr>
              <w:spacing w:line="276"/>
            </w:pPr>
            <w:r>
              <w:rPr>
                <w:rFonts w:ascii="Times New Roman" w:cs="Times New Roman" w:eastAsia="Times New Roman" w:hAnsi="Times New Roman"/>
                <w:sz w:val="20"/>
                <w:szCs w:val="20"/>
              </w:rPr>
              <w:t xml:space="preserve">29</w:t>
            </w:r>
          </w:p>
        </w:tc>
        <w:tc>
          <w:tcPr>
            <w:tcW w:type="dxa" w:w="1300"/>
          </w:tcPr>
          <w:p>
            <w:pPr>
              <w:spacing w:line="276"/>
            </w:pPr>
            <w:r>
              <w:rPr>
                <w:rFonts w:ascii="Times New Roman" w:cs="Times New Roman" w:eastAsia="Times New Roman" w:hAnsi="Times New Roman"/>
                <w:sz w:val="20"/>
                <w:szCs w:val="20"/>
              </w:rPr>
              <w:t xml:space="preserve">6.32</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H</w:t>
            </w:r>
          </w:p>
        </w:tc>
        <w:tc>
          <w:tcPr>
            <w:tcW w:type="dxa" w:w="1900"/>
          </w:tcPr>
          <w:p>
            <w:pPr>
              <w:spacing w:line="276"/>
            </w:pPr>
            <w:r>
              <w:rPr>
                <w:rFonts w:ascii="Times New Roman" w:cs="Times New Roman" w:eastAsia="Times New Roman" w:hAnsi="Times New Roman"/>
                <w:sz w:val="20"/>
                <w:szCs w:val="20"/>
              </w:rPr>
              <w:t xml:space="preserve">2,104.77</w:t>
            </w:r>
          </w:p>
        </w:tc>
        <w:tc>
          <w:tcPr>
            <w:tcW w:type="dxa" w:w="1300"/>
          </w:tcPr>
          <w:p>
            <w:pPr>
              <w:spacing w:line="276"/>
            </w:pPr>
            <w:r>
              <w:rPr>
                <w:rFonts w:ascii="Times New Roman" w:cs="Times New Roman" w:eastAsia="Times New Roman" w:hAnsi="Times New Roman"/>
                <w:sz w:val="20"/>
                <w:szCs w:val="20"/>
              </w:rPr>
              <w:t xml:space="preserve">303</w:t>
            </w:r>
          </w:p>
        </w:tc>
        <w:tc>
          <w:tcPr>
            <w:tcW w:type="dxa" w:w="1300"/>
          </w:tcPr>
          <w:p>
            <w:pPr>
              <w:spacing w:line="276"/>
            </w:pPr>
            <w:r>
              <w:rPr>
                <w:rFonts w:ascii="Times New Roman" w:cs="Times New Roman" w:eastAsia="Times New Roman" w:hAnsi="Times New Roman"/>
                <w:sz w:val="20"/>
                <w:szCs w:val="20"/>
              </w:rPr>
              <w:t xml:space="preserve">6.95</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8,398.19</w:t>
            </w:r>
          </w:p>
        </w:tc>
        <w:tc>
          <w:tcPr>
            <w:tcW w:type="dxa" w:w="1300"/>
          </w:tcPr>
          <w:p>
            <w:pPr>
              <w:spacing w:line="276"/>
            </w:pPr>
            <w:r>
              <w:rPr>
                <w:rFonts w:ascii="Times New Roman" w:cs="Times New Roman" w:eastAsia="Times New Roman" w:hAnsi="Times New Roman"/>
                <w:sz w:val="20"/>
                <w:szCs w:val="20"/>
              </w:rPr>
              <w:t xml:space="preserve">1,803</w:t>
            </w:r>
          </w:p>
        </w:tc>
        <w:tc>
          <w:tcPr>
            <w:tcW w:type="dxa" w:w="1300"/>
          </w:tcPr>
          <w:p>
            <w:pPr>
              <w:spacing w:line="276"/>
            </w:pPr>
            <w:r>
              <w:rPr>
                <w:rFonts w:ascii="Times New Roman" w:cs="Times New Roman" w:eastAsia="Times New Roman" w:hAnsi="Times New Roman"/>
                <w:sz w:val="20"/>
                <w:szCs w:val="20"/>
              </w:rPr>
              <w:t xml:space="preserve">4.66</w:t>
            </w:r>
          </w:p>
        </w:tc>
        <w:tc>
          <w:tcPr>
            <w:tcW w:type="dxa" w:w="3060"/>
          </w:tcPr>
          <w:p>
            <w:pPr>
              <w:spacing w:line="276"/>
            </w:pPr>
            <w:r>
              <w:rPr>
                <w:rFonts w:ascii="Times New Roman" w:cs="Times New Roman" w:eastAsia="Times New Roman" w:hAnsi="Times New Roman"/>
                <w:sz w:val="20"/>
                <w:szCs w:val="20"/>
              </w:rPr>
              <w:t xml:space="preserve">Purata keseluruhan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Jurang antara set iklan paling cekap (RM2.95) dan paling mahal (RM6.95) ialah 2.4 kali ganda. Apabila set iklan dikumpulkan kepada dua kategori mengikut purata keseluruhan, perbezaan hasil menjadi sangat ketara: empat set iklan berkos rendah membelanjakan RM4,627.24 dan menjana 1,177 prospek, manakala empat set iklan berkos tinggi membelanjakan RM3,770.95 tetapi hanya menjana 626 prospek. Dengan perbelanjaan yang hampir sama, kumpulan pertama menghasilkan 88% lebih banyak prospek berbanding kumpulan kedua.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Sekiranya keseluruhan belanjawan RM8,398.19 beroperasi pada kadar set iklan paling cekap (RM2.95), anggaran 2,850 prospek boleh dijana berbanding 1,803 prospek sebenar — iaitu potensi peningkatan sebanyak 58% tanpa sebarang penambahan belanjawan. Pengiraan ini menunjukkan bahawa peluang penambahbaikan terbesar dalam kempen berbayar bukanlah pada penambahan perbelanjaan, tetapi pada pengagihan semula belanjawan sedia ada kepada set iklan berprestasi 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diambil perhatian bahawa kadar penukaran prospek berbanding jangkauan bagi kesemua set iklan berada dalam julat sempit antara 0.23% hingga 0.47%. Ini menunjukkan perbezaan Kos Per Prospek didorong terutamanya oleh kos penyampaian iklan dan bukan oleh perbezaan keberkesanan kreatif dalam menukar penonton kepada prospek.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D-6: Meta Ads Manager → Ad Sets → Tukar tempoh ke 1 Jan – 30 Jun 2026 → Susun mengikut Cost per result → Screenshot menunjukkan Amount spent, Results dan Cost per result bagi setiap set iklan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3.18: Perbelanjaan TikTok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w:t>
            </w:r>
          </w:p>
        </w:tc>
        <w:tc>
          <w:tcPr>
            <w:tcW w:type="dxa" w:w="1300"/>
          </w:tcPr>
          <w:p>
            <w:pPr>
              <w:spacing w:line="276"/>
            </w:pPr>
            <w:r>
              <w:rPr>
                <w:rFonts w:ascii="Times New Roman" w:cs="Times New Roman" w:eastAsia="Times New Roman" w:hAnsi="Times New Roman"/>
                <w:sz w:val="20"/>
                <w:szCs w:val="20"/>
              </w:rPr>
              <w:t xml:space="preserve">5</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Kempen dilancarkan pada penghujung bulan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416.71</w:t>
            </w:r>
          </w:p>
        </w:tc>
        <w:tc>
          <w:tcPr>
            <w:tcW w:type="dxa" w:w="1300"/>
          </w:tcPr>
          <w:p>
            <w:pPr>
              <w:spacing w:line="276"/>
            </w:pPr>
            <w:r>
              <w:rPr>
                <w:rFonts w:ascii="Times New Roman" w:cs="Times New Roman" w:eastAsia="Times New Roman" w:hAnsi="Times New Roman"/>
                <w:sz w:val="20"/>
                <w:szCs w:val="20"/>
              </w:rPr>
              <w:t xml:space="preserve">560</w:t>
            </w:r>
          </w:p>
        </w:tc>
        <w:tc>
          <w:tcPr>
            <w:tcW w:type="dxa" w:w="1300"/>
          </w:tcPr>
          <w:p>
            <w:pPr>
              <w:spacing w:line="276"/>
            </w:pPr>
            <w:r>
              <w:rPr>
                <w:rFonts w:ascii="Times New Roman" w:cs="Times New Roman" w:eastAsia="Times New Roman" w:hAnsi="Times New Roman"/>
                <w:sz w:val="20"/>
                <w:szCs w:val="20"/>
              </w:rPr>
              <w:t xml:space="preserve">0.74</w:t>
            </w:r>
          </w:p>
        </w:tc>
        <w:tc>
          <w:tcPr>
            <w:tcW w:type="dxa" w:w="3260"/>
          </w:tcPr>
          <w:p>
            <w:pPr>
              <w:spacing w:line="276"/>
            </w:pPr>
            <w:r>
              <w:rPr>
                <w:rFonts w:ascii="Times New Roman" w:cs="Times New Roman" w:eastAsia="Times New Roman" w:hAnsi="Times New Roman"/>
                <w:sz w:val="20"/>
                <w:szCs w:val="20"/>
              </w:rPr>
              <w:t xml:space="preserve">Fasa pertumbuhan pesat</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1,063.15</w:t>
            </w:r>
          </w:p>
        </w:tc>
        <w:tc>
          <w:tcPr>
            <w:tcW w:type="dxa" w:w="1300"/>
          </w:tcPr>
          <w:p>
            <w:pPr>
              <w:spacing w:line="276"/>
            </w:pPr>
            <w:r>
              <w:rPr>
                <w:rFonts w:ascii="Times New Roman" w:cs="Times New Roman" w:eastAsia="Times New Roman" w:hAnsi="Times New Roman"/>
                <w:sz w:val="20"/>
                <w:szCs w:val="20"/>
              </w:rPr>
              <w:t xml:space="preserve">315</w:t>
            </w:r>
          </w:p>
        </w:tc>
        <w:tc>
          <w:tcPr>
            <w:tcW w:type="dxa" w:w="1300"/>
          </w:tcPr>
          <w:p>
            <w:pPr>
              <w:spacing w:line="276"/>
            </w:pPr>
            <w:r>
              <w:rPr>
                <w:rFonts w:ascii="Times New Roman" w:cs="Times New Roman" w:eastAsia="Times New Roman" w:hAnsi="Times New Roman"/>
                <w:sz w:val="20"/>
                <w:szCs w:val="20"/>
              </w:rPr>
              <w:t xml:space="preserve">3.37</w:t>
            </w:r>
          </w:p>
        </w:tc>
        <w:tc>
          <w:tcPr>
            <w:tcW w:type="dxa" w:w="3260"/>
          </w:tcPr>
          <w:p>
            <w:pPr>
              <w:spacing w:line="276"/>
            </w:pPr>
            <w:r>
              <w:rPr>
                <w:rFonts w:ascii="Times New Roman" w:cs="Times New Roman" w:eastAsia="Times New Roman" w:hAnsi="Times New Roman"/>
                <w:sz w:val="20"/>
                <w:szCs w:val="20"/>
              </w:rPr>
              <w:t xml:space="preserve">Belanjawan ditingkatkan</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824.97</w:t>
            </w:r>
          </w:p>
        </w:tc>
        <w:tc>
          <w:tcPr>
            <w:tcW w:type="dxa" w:w="1300"/>
          </w:tcPr>
          <w:p>
            <w:pPr>
              <w:spacing w:line="276"/>
            </w:pPr>
            <w:r>
              <w:rPr>
                <w:rFonts w:ascii="Times New Roman" w:cs="Times New Roman" w:eastAsia="Times New Roman" w:hAnsi="Times New Roman"/>
                <w:sz w:val="20"/>
                <w:szCs w:val="20"/>
              </w:rPr>
              <w:t xml:space="preserve">254</w:t>
            </w:r>
          </w:p>
        </w:tc>
        <w:tc>
          <w:tcPr>
            <w:tcW w:type="dxa" w:w="1300"/>
          </w:tcPr>
          <w:p>
            <w:pPr>
              <w:spacing w:line="276"/>
            </w:pPr>
            <w:r>
              <w:rPr>
                <w:rFonts w:ascii="Times New Roman" w:cs="Times New Roman" w:eastAsia="Times New Roman" w:hAnsi="Times New Roman"/>
                <w:sz w:val="20"/>
                <w:szCs w:val="20"/>
              </w:rPr>
              <w:t xml:space="preserve">3.25</w:t>
            </w:r>
          </w:p>
        </w:tc>
        <w:tc>
          <w:tcPr>
            <w:tcW w:type="dxa" w:w="3260"/>
          </w:tcPr>
          <w:p>
            <w:pPr>
              <w:spacing w:line="276"/>
            </w:pPr>
            <w:r>
              <w:rPr>
                <w:rFonts w:ascii="Times New Roman" w:cs="Times New Roman" w:eastAsia="Times New Roman" w:hAnsi="Times New Roman"/>
                <w:sz w:val="20"/>
                <w:szCs w:val="20"/>
              </w:rPr>
              <w:t xml:space="preserve">Melebihi Meta Ads dari segi jumlah prospek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2,304.83</w:t>
            </w:r>
          </w:p>
        </w:tc>
        <w:tc>
          <w:tcPr>
            <w:tcW w:type="dxa" w:w="1300"/>
          </w:tcPr>
          <w:p>
            <w:pPr>
              <w:spacing w:line="276"/>
            </w:pPr>
            <w:r>
              <w:rPr>
                <w:rFonts w:ascii="Times New Roman" w:cs="Times New Roman" w:eastAsia="Times New Roman" w:hAnsi="Times New Roman"/>
                <w:sz w:val="20"/>
                <w:szCs w:val="20"/>
              </w:rPr>
              <w:t xml:space="preserve">1,134</w:t>
            </w:r>
          </w:p>
        </w:tc>
        <w:tc>
          <w:tcPr>
            <w:tcW w:type="dxa" w:w="1300"/>
          </w:tcPr>
          <w:p>
            <w:pPr>
              <w:spacing w:line="276"/>
            </w:pPr>
            <w:r>
              <w:rPr>
                <w:rFonts w:ascii="Times New Roman" w:cs="Times New Roman" w:eastAsia="Times New Roman" w:hAnsi="Times New Roman"/>
                <w:sz w:val="20"/>
                <w:szCs w:val="20"/>
              </w:rPr>
              <w:t xml:space="preserve">2.03</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Bil pertama TikTok Ads direkodkan pada 1 April 2026, meliputi penyampaian iklan pada penghujung Mac 2026. Prospek bulan Mac (5 rekod) tidak mempunyai bil berasingan dan diserapkan dalam pengiraan keseluruhan.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TikTok Ads menunjukkan corak pertumbuhan yang berbeza daripada Meta Ads. Bermula dengan perbelanjaan kecil sebanyak RM416.71 pada April 2026, peruntukan ditingkatkan secara berperingkat kepada RM1,063.15 pada Mei sebaik prestasi awal disahkan. Menjelang Jun 2026, TikTok Ads menjana 254 prospek berbanding Meta Ads yang hanya menjana 56 prospek pada bulan yang sama — iaitu lebih empat kali ganda — walaupun dengan perbelanjaan yang lebih tinggi berbanding Meta pada bulan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Sepanjang tempoh operasi TikTok Ads, Kos Per Prospek kekal berada di bawah paras Meta Ads pada setiap bulan. Ini mengukuhkan asas cadangan pengagihan semula belanjawan yang dikemukakan dalam Bab 4.</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D-4: Meta Ads Manager → Billing → Tukar tempoh ke 1 Jan – 1 Jul 2026 → Screenshot penyata bil menunjukkan Total amount billed MYR9,987.56 ]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D-5: TikTok Ads Manager → Campaign → Tukar tempoh ke Mac–Jun 2026 → Screenshot menunjukkan Total Spend dan bilangan Leads ]</w:t>
      </w:r>
    </w:p>
    <w:p>
      <w:pPr>
        <w:spacing w:after="120" w:before="360" w:line="360" w:lineRule="auto"/>
      </w:pPr>
      <w:r>
        <w:rPr>
          <w:rFonts w:ascii="Times New Roman" w:cs="Times New Roman" w:eastAsia="Times New Roman" w:hAnsi="Times New Roman"/>
          <w:b/>
          <w:bCs/>
          <w:sz w:val="24"/>
          <w:szCs w:val="24"/>
          <w:u w:val="single"/>
        </w:rPr>
        <w:t xml:space="preserve">3.9  Pencapaian Berbanding Objektif</w:t>
      </w:r>
    </w:p>
    <w:p>
      <w:pPr>
        <w:spacing w:after="240" w:before="0" w:line="360" w:lineRule="auto"/>
      </w:pPr>
      <w:r>
        <w:rPr>
          <w:rFonts w:ascii="Times New Roman" w:cs="Times New Roman" w:eastAsia="Times New Roman" w:hAnsi="Times New Roman"/>
          <w:sz w:val="24"/>
          <w:szCs w:val="24"/>
        </w:rPr>
        <w:t xml:space="preserve">Jadual 3.19 menilai sejauh mana setiap objektif kempen yang ditetapkan dalam Bab 1 telah dicapai berdasarkan data yang dikumpulkan.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3.19: Penilaian Pencapaian Objektif Kempen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200"/>
        <w:gridCol w:w="17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Objektif</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KPI / Sasaran</w:t>
            </w:r>
          </w:p>
        </w:tc>
        <w:tc>
          <w:tcPr>
            <w:tcW w:type="dxa" w:w="3200"/>
            <w:shd w:fill="D9D9D9" w:color="D9D9D9" w:val="clear"/>
          </w:tcPr>
          <w:p>
            <w:pPr>
              <w:spacing w:line="276"/>
            </w:pPr>
            <w:r>
              <w:rPr>
                <w:rFonts w:ascii="Times New Roman" w:cs="Times New Roman" w:eastAsia="Times New Roman" w:hAnsi="Times New Roman"/>
                <w:b/>
                <w:bCs/>
                <w:sz w:val="20"/>
                <w:szCs w:val="20"/>
              </w:rPr>
              <w:t xml:space="preserve">Keputusan Sebenar</w:t>
            </w:r>
          </w:p>
        </w:tc>
        <w:tc>
          <w:tcPr>
            <w:tcW w:type="dxa" w:w="1760"/>
            <w:shd w:fill="D9D9D9" w:color="D9D9D9" w:val="clear"/>
          </w:tcPr>
          <w:p>
            <w:pPr>
              <w:spacing w:line="276"/>
            </w:pPr>
            <w:r>
              <w:rPr>
                <w:rFonts w:ascii="Times New Roman" w:cs="Times New Roman" w:eastAsia="Times New Roman" w:hAnsi="Times New Roman"/>
                <w:b/>
                <w:bCs/>
                <w:sz w:val="20"/>
                <w:szCs w:val="20"/>
              </w:rPr>
              <w:t xml:space="preserve">Status</w:t>
            </w:r>
          </w:p>
        </w:tc>
      </w:tr>
      <w:tr>
        <w:tc>
          <w:tcPr>
            <w:tcW w:type="dxa" w:w="2200"/>
          </w:tcPr>
          <w:p>
            <w:pPr>
              <w:spacing w:line="276"/>
            </w:pPr>
            <w:r>
              <w:rPr>
                <w:rFonts w:ascii="Times New Roman" w:cs="Times New Roman" w:eastAsia="Times New Roman" w:hAnsi="Times New Roman"/>
                <w:sz w:val="20"/>
                <w:szCs w:val="20"/>
              </w:rPr>
              <w:t xml:space="preserve">Obj. 1: Rancang dan laksana strategi media sosial komprehensif</w:t>
            </w:r>
          </w:p>
        </w:tc>
        <w:tc>
          <w:tcPr>
            <w:tcW w:type="dxa" w:w="2200"/>
          </w:tcPr>
          <w:p>
            <w:pPr>
              <w:spacing w:line="276"/>
            </w:pPr>
            <w:r>
              <w:rPr>
                <w:rFonts w:ascii="Times New Roman" w:cs="Times New Roman" w:eastAsia="Times New Roman" w:hAnsi="Times New Roman"/>
                <w:sz w:val="20"/>
                <w:szCs w:val="20"/>
              </w:rPr>
              <w:t xml:space="preserve">Kalendar Kandungan 6 bulan dibangunkan; kandungan organik diterbitkan merentas TikTok, Instagram dan Facebook; kempen Lead Generation aktif di Meta Ads dan TikTok Ads</w:t>
            </w:r>
          </w:p>
        </w:tc>
        <w:tc>
          <w:tcPr>
            <w:tcW w:type="dxa" w:w="3200"/>
          </w:tcPr>
          <w:p>
            <w:pPr>
              <w:spacing w:line="276"/>
            </w:pPr>
            <w:r>
              <w:rPr>
                <w:rFonts w:ascii="Times New Roman" w:cs="Times New Roman" w:eastAsia="Times New Roman" w:hAnsi="Times New Roman"/>
                <w:sz w:val="20"/>
                <w:szCs w:val="20"/>
              </w:rPr>
              <w:t xml:space="preserve">Kalendar Kandungan dibangunkan dan dilaksanakan. Meta Ads Lead Generation aktif Januari–Jun 2026. TikTok Ads dilancarkan Mac 2026. Akaun TikTok mencapai 13,800 pengikut dan 118,500 likes kumulatif; Instagram 165 pengikut dengan 127 siaran.</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2: Analisis prestasi berdasarkan metrik utama</w:t>
            </w:r>
          </w:p>
        </w:tc>
        <w:tc>
          <w:tcPr>
            <w:tcW w:type="dxa" w:w="2200"/>
          </w:tcPr>
          <w:p>
            <w:pPr>
              <w:spacing w:line="276"/>
            </w:pPr>
            <w:r>
              <w:rPr>
                <w:rFonts w:ascii="Times New Roman" w:cs="Times New Roman" w:eastAsia="Times New Roman" w:hAnsi="Times New Roman"/>
                <w:sz w:val="20"/>
                <w:szCs w:val="20"/>
              </w:rPr>
              <w:t xml:space="preserve">Metrik jangkauan, tontonan, penglibatan, trafik carian dan data prospek dikumpul dan dianalisis mengikut sumber, kursus dan lokasi</w:t>
            </w:r>
          </w:p>
        </w:tc>
        <w:tc>
          <w:tcPr>
            <w:tcW w:type="dxa" w:w="3200"/>
          </w:tcPr>
          <w:p>
            <w:pPr>
              <w:spacing w:line="276"/>
            </w:pPr>
            <w:r>
              <w:rPr>
                <w:rFonts w:ascii="Times New Roman" w:cs="Times New Roman" w:eastAsia="Times New Roman" w:hAnsi="Times New Roman"/>
                <w:sz w:val="20"/>
                <w:szCs w:val="20"/>
              </w:rPr>
              <w:t xml:space="preserve">TikTok: 2,927,157 tontonan, 2,622,406 jangkauan audiens, 15,251 paparan profil. Google Search Console: 329 klik organik. CRM: 3,470 prospek dianalisis mengikut sumber, bulan, kursus, umur, jantina dan negeri.</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3: Nilai keberkesanan kempen dan kemukakan cadangan berasaskan data</w:t>
            </w:r>
          </w:p>
        </w:tc>
        <w:tc>
          <w:tcPr>
            <w:tcW w:type="dxa" w:w="2200"/>
          </w:tcPr>
          <w:p>
            <w:pPr>
              <w:spacing w:line="276"/>
            </w:pPr>
            <w:r>
              <w:rPr>
                <w:rFonts w:ascii="Times New Roman" w:cs="Times New Roman" w:eastAsia="Times New Roman" w:hAnsi="Times New Roman"/>
                <w:sz w:val="20"/>
                <w:szCs w:val="20"/>
              </w:rPr>
              <w:t xml:space="preserve">Kos Per Prospek dikira dan dipantau; kecekapan kempen dinilai; cadangan penambahbaikan dikemukakan</w:t>
            </w:r>
          </w:p>
        </w:tc>
        <w:tc>
          <w:tcPr>
            <w:tcW w:type="dxa" w:w="3200"/>
          </w:tcPr>
          <w:p>
            <w:pPr>
              <w:spacing w:line="276"/>
            </w:pPr>
            <w:r>
              <w:rPr>
                <w:rFonts w:ascii="Times New Roman" w:cs="Times New Roman" w:eastAsia="Times New Roman" w:hAnsi="Times New Roman"/>
                <w:sz w:val="20"/>
                <w:szCs w:val="20"/>
              </w:rPr>
              <w:t xml:space="preserve">Perbelanjaan keseluruhan RM12,292.39 menjana 3,470 prospek pada CPL gabungan RM3.54. Meta Ads: RM9,987.56 / 2,336 prospek / CPL RM4.28. TikTok Ads: RM2,304.83 / 1,134 prospek / CPL RM2.03 — 52.5% lebih rendah. Pengoptimuman Meta menurunkan CPL daripada RM9.65 (Feb) kepada RM3.32 (Apr). Lapan cadangan dikemukakan dalam Bab 4.</w:t>
            </w:r>
          </w:p>
        </w:tc>
        <w:tc>
          <w:tcPr>
            <w:tcW w:type="dxa" w:w="1760"/>
          </w:tcPr>
          <w:p>
            <w:pPr>
              <w:spacing w:line="276"/>
            </w:pPr>
            <w:r>
              <w:rPr>
                <w:rFonts w:ascii="Times New Roman" w:cs="Times New Roman" w:eastAsia="Times New Roman" w:hAnsi="Times New Roman"/>
                <w:sz w:val="20"/>
                <w:szCs w:val="20"/>
              </w:rPr>
              <w:t xml:space="preserve">DICAPAI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dinilai sebagai DICAPAI. Kempen berjaya menjana 3,470 prospek dalam tempoh enam bulan dengan kos yang terkawal, di samping menunjukkan keupayaan mengoptimumkan kecekapan perbelanjaan iklan berdasarkan data prestasi — Kos Per Prospek diturunkan sebanyak 65.6% antara Februari dan April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bilangan pendaftaran akhir (16 pelajar) tidak digunakan sebagai penunjuk utama kejayaan kempen. Ini kerana proses penukaran prospek kepada pelajar berdaftar melibatkan susulan oleh pasukan pengambilan, kelulusan pembiayaan PTPK dan keputusan peribadi calon — kesemuanya berada di luar skop aktiviti pemasaran media sosial yang didokumentasikan dalam LPKT ini. Penunjuk prestasi yang digunakan adalah metrik yang berada dalam kawalan langsung kempen, iaitu jangkauan, penglibatan, bilangan prospek dijana dan kos per prospek.</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4.1  Perbincangan Penemuan</w:t>
      </w:r>
    </w:p>
    <w:p>
      <w:pPr>
        <w:spacing w:after="240" w:before="0" w:line="360" w:lineRule="auto"/>
      </w:pPr>
      <w:r>
        <w:rPr>
          <w:rFonts w:ascii="Times New Roman" w:cs="Times New Roman" w:eastAsia="Times New Roman" w:hAnsi="Times New Roman"/>
          <w:sz w:val="24"/>
          <w:szCs w:val="24"/>
        </w:rPr>
        <w:t xml:space="preserve">Bab ini membincangkan dapatan kempen media sosial TVET Lipis dalam konteks kerangka teoritikal yang digunakan, mengenal pasti kekuatan dan kelemahan pelaksanaan, serta mengemukakan cadangan penambahbaikan berasaskan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Digital Mengatasi Batasan Geografi: </w:t>
      </w:r>
      <w:r>
        <w:rPr>
          <w:rFonts w:ascii="Times New Roman" w:cs="Times New Roman" w:eastAsia="Times New Roman" w:hAnsi="Times New Roman"/>
          <w:sz w:val="24"/>
          <w:szCs w:val="24"/>
        </w:rPr>
        <w:t xml:space="preserve">Dapatan paling ketara ialah kemampuan kempen menjangkau audiens jauh melepasi kedudukan fizikal institusi. Dengan 2,927,157 tontonan video dan prospek yang datang dari seluruh negara — Selangor (443), Kelantan (401), Johor (261) dan Sabah (129) — kempen ini membuktikan bahawa sebuah institusi kemahiran di pedalaman Pahang mampu bersaing merebut perhatian bakal pelajar pada skala nasional. Pahang sendiri hanya menyumbang 293 prospek (8.4%), menunjukkan bahawa nilai sebenar pemasaran digital bagi institusi luar bandar terletak pada keupayaannya menembusi pasaran luar kawasan.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Keberkesanan Strategi Dwi-Platform Lead Generation: </w:t>
      </w:r>
      <w:r>
        <w:rPr>
          <w:rFonts w:ascii="Times New Roman" w:cs="Times New Roman" w:eastAsia="Times New Roman" w:hAnsi="Times New Roman"/>
          <w:sz w:val="24"/>
          <w:szCs w:val="24"/>
        </w:rPr>
        <w:t xml:space="preserve">Gabungan Meta Ads (2,336 prospek) dan TikTok Ads (1,134 prospek) menghasilkan 3,470 prospek sepanjang enam bulan. Yang lebih penting daripada jumlah tersebut ialah keputusan strategik yang membawa kepadanya: apabila prestasi Meta Ads menurun daripada 345 prospek (Januari) kepada 133 (Februari), saluran kedua dibuka pada Mac 2026. Menjelang Jun 2026, TikTok Ads menghasilkan 254 prospek berbanding Meta Ads 56 prospek. Data kos mengesahkan ketepatan keputusan tersebut dari sudut kedua: TikTok Ads beroperasi pada CPL RM2.03 berbanding Meta Ads RM4.28. Justeru saluran baharu yang dibuka bukan sahaja memulihkan jumlah prospek, malah melakukannya pada separuh kos setiap prospek. Keputusan berasaskan data ini menyelamatkan momentum kempen dan mencerminkan amalan pengoptimuman berterusan yang menjadi teras pendekatan PDCA (Deming, 1986).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Kandungan Bermotivasi Menjana Jangkauan Tertinggi: </w:t>
      </w:r>
      <w:r>
        <w:rPr>
          <w:rFonts w:ascii="Times New Roman" w:cs="Times New Roman" w:eastAsia="Times New Roman" w:hAnsi="Times New Roman"/>
          <w:sz w:val="24"/>
          <w:szCs w:val="24"/>
        </w:rPr>
        <w:t xml:space="preserve">Video "Ini adalah peluang kedua anda!" mencatatkan 3,800,000 tontonan — jauh mengatasi kandungan promosi program yang lain. Tema video ini menyentuh keresahan sebenar audiens sasaran, iaitu lepasan sekolah yang keputusan peperiksaannya tidak membolehkan kemasukan ke laluan akademik konvensional. Dapatan ini selari dengan pandangan Rutter, Roper dan Lettice (2016) bahawa kandungan yang membina hubungan emosi dengan bakal pelajar memberi kesan lebih besar kepada prestasi pengambilan berbanding kandungan bersifat pengumuman semata-mata. Video "PERHATIAN KEPADA IBU BAPA" (502,900 tontonan) pula mengesahkan kepentingan menyasarkan Persona B, iaitu ibu bapa yang turut terlibat dalam keputusan pengajian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Nisbah Jangkauan Berbanding Pengikut: </w:t>
      </w:r>
      <w:r>
        <w:rPr>
          <w:rFonts w:ascii="Times New Roman" w:cs="Times New Roman" w:eastAsia="Times New Roman" w:hAnsi="Times New Roman"/>
          <w:sz w:val="24"/>
          <w:szCs w:val="24"/>
        </w:rPr>
        <w:t xml:space="preserve">Jangkauan audiens TikTok (2,622,406) melebihi bilangan pengikut (13,800) dengan nisbah kira-kira 190:1. Ini mengesahkan bahawa pengedaran kandungan TikTok didorong oleh algoritma dan bukan oleh saiz pengikut, menjadikannya platform yang sesuai bagi institusi kecil yang bermula tanpa asas audiens yang besar. Sebaliknya, akaun Instagram hanya mencatatkan 165 pengikut — perbezaan yang menjelaskan mengapa tumpuan sumber kepada TikTok adalah keputusan yang wajar.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Kesan Spillover kepada Carian Organik: </w:t>
      </w:r>
      <w:r>
        <w:rPr>
          <w:rFonts w:ascii="Times New Roman" w:cs="Times New Roman" w:eastAsia="Times New Roman" w:hAnsi="Times New Roman"/>
          <w:sz w:val="24"/>
          <w:szCs w:val="24"/>
        </w:rPr>
        <w:t xml:space="preserve">Data Google Search Console menunjukkan kata kunci berjenama "tvet lipis" mencatatkan 120 klik daripada 603 tayangan. Carian berjenama merupakan penunjuk kesedaran jenama kerana ia memerlukan pengguna mengetahui nama institusi terlebih dahulu. Peningkatan ini mencerminkan kesan limpahan aktiviti media sosial kepada saluran carian, selaras dengan konsep integrasi saluran yang dihuraikan oleh Chaffey dan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Kecekapan Kos dan Pengoptimuman Berasaskan Data: </w:t>
      </w:r>
      <w:r>
        <w:rPr>
          <w:rFonts w:ascii="Times New Roman" w:cs="Times New Roman" w:eastAsia="Times New Roman" w:hAnsi="Times New Roman"/>
          <w:sz w:val="24"/>
          <w:szCs w:val="24"/>
        </w:rPr>
        <w:t xml:space="preserve">Kempen Meta Ads mencatatkan Kos Per Prospek keseluruhan sebanyak RM4.28 bagi 2,336 prospek dengan perbelanjaan RM9,987.56. Yang lebih bermakna daripada angka purata tersebut ialah corak pengoptimuman yang berjaya dilaksanakan: apabila CPL meningkat kepada RM9.65 pada Februari 2026, tindakan pembetulan dilaksanakan pada Mac dan CPL berjaya diturunkan kepada RM3.32 menjelang April — penambahbaikan sebanyak 65.6%. Ini menunjukkan amalan pemantauan dan pengoptimuman berterusan yang menjadi teras pengurusan kempen digital berkesan (Chaffey &amp;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Skop Kempen dan Had Tanggungjawab Pemasaran: </w:t>
      </w:r>
      <w:r>
        <w:rPr>
          <w:rFonts w:ascii="Times New Roman" w:cs="Times New Roman" w:eastAsia="Times New Roman" w:hAnsi="Times New Roman"/>
          <w:sz w:val="24"/>
          <w:szCs w:val="24"/>
        </w:rPr>
        <w:t xml:space="preserve">Kempen ini menjana 3,470 prospek, manakala 16 pendaftaran disahkan sepanjang tempoh yang sama. Perlu dibezakan dengan jelas antara dua peringkat: penjanaan prospek merupakan hasil langsung aktiviti pemasaran media sosial dan berada dalam skop CU C01, manakala penukaran prospek kepada pelajar berdaftar bergantung kepada proses susulan pasukan pengambilan, kelulusan pembiayaan PTPK dan keputusan peribadi calon. Data status dalam CRM juga tidak mencerminkan aktiviti susulan sebenar kerana sistem tersebut masih dalam fasa pelaksanaan sepanjang tempoh kempen. Justeru, penilaian keberkesanan kempen dalam LPKT ini berasaskan metrik yang berada dalam kawalan pemasaran — jangkauan, penglibatan, bilangan prospek dan kos per prospek.</w:t>
      </w:r>
    </w:p>
    <w:p>
      <w:pPr>
        <w:spacing w:after="120" w:before="360" w:line="360" w:lineRule="auto"/>
      </w:pPr>
      <w:r>
        <w:rPr>
          <w:rFonts w:ascii="Times New Roman" w:cs="Times New Roman" w:eastAsia="Times New Roman" w:hAnsi="Times New Roman"/>
          <w:b/>
          <w:bCs/>
          <w:sz w:val="24"/>
          <w:szCs w:val="24"/>
          <w:u w:val="single"/>
        </w:rPr>
        <w:t xml:space="preserve">4.2  Kelemahan dan Kelebihan</w:t>
      </w:r>
    </w:p>
    <w:p>
      <w:pPr>
        <w:spacing w:after="240" w:before="0" w:line="360" w:lineRule="auto"/>
      </w:pPr>
      <w:r>
        <w:rPr>
          <w:rFonts w:ascii="Times New Roman" w:cs="Times New Roman" w:eastAsia="Times New Roman" w:hAnsi="Times New Roman"/>
          <w:b/>
          <w:bCs/>
          <w:sz w:val="24"/>
          <w:szCs w:val="24"/>
          <w:u w:val="single"/>
        </w:rPr>
        <w:t xml:space="preserve">Kelebihan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Nasional dengan Belanjawan Terkawal: </w:t>
      </w:r>
      <w:r>
        <w:rPr>
          <w:rFonts w:ascii="Times New Roman" w:cs="Times New Roman" w:eastAsia="Times New Roman" w:hAnsi="Times New Roman"/>
          <w:sz w:val="24"/>
          <w:szCs w:val="24"/>
        </w:rPr>
        <w:t xml:space="preserve">Kempen berjaya menjangkau bakal pelajar di seluruh Malaysia — termasuk Sabah — tanpa kos perjalanan, penginapan atau pengedaran bahan cetak yang diperlukan oleh kaedah pemasaran konvensional seperti lawatan sekolah dan pameran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Sumber Prospek Secara Automatik: </w:t>
      </w:r>
      <w:r>
        <w:rPr>
          <w:rFonts w:ascii="Times New Roman" w:cs="Times New Roman" w:eastAsia="Times New Roman" w:hAnsi="Times New Roman"/>
          <w:sz w:val="24"/>
          <w:szCs w:val="24"/>
        </w:rPr>
        <w:t xml:space="preserve">Integrasi borang Lead Generation dengan Sistem CRM membolehkan setiap prospek dikaitkan dengan platform sumbernya secara automatik. Ini menyelesaikan masalah kelima yang dikenal pasti dalam Bab 1, dan membolehkan analisis prestasi mengikut saluran, kursus, umur dan negeri.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Keupayaan Bertindak Balas Terhadap Data: </w:t>
      </w:r>
      <w:r>
        <w:rPr>
          <w:rFonts w:ascii="Times New Roman" w:cs="Times New Roman" w:eastAsia="Times New Roman" w:hAnsi="Times New Roman"/>
          <w:sz w:val="24"/>
          <w:szCs w:val="24"/>
        </w:rPr>
        <w:t xml:space="preserve">Pendekatan PDCA membolehkan tindakan pembetulan dilaksanakan dalam masa sebulan selepas penurunan prestasi dikesan. Pelancaran TikTok Ads pada Mac 2026 sebagai tindak balas kepada kemerosotan Meta Ads pada Februari merupakan bukti konkrit amalan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Kandungan Boleh Diguna Semula: </w:t>
      </w:r>
      <w:r>
        <w:rPr>
          <w:rFonts w:ascii="Times New Roman" w:cs="Times New Roman" w:eastAsia="Times New Roman" w:hAnsi="Times New Roman"/>
          <w:sz w:val="24"/>
          <w:szCs w:val="24"/>
        </w:rPr>
        <w:t xml:space="preserve">Video pendek yang dihasilkan untuk TikTok boleh diterbitkan semula di Instagram Reels dan Facebook tanpa kos pengeluaran tambahan, meningkatkan pulangan bagi setiap kandungan yang dihasilkan.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Prestasi Sebagai Aset Institusi: </w:t>
      </w:r>
      <w:r>
        <w:rPr>
          <w:rFonts w:ascii="Times New Roman" w:cs="Times New Roman" w:eastAsia="Times New Roman" w:hAnsi="Times New Roman"/>
          <w:sz w:val="24"/>
          <w:szCs w:val="24"/>
        </w:rPr>
        <w:t xml:space="preserve">Rekod 3,470 prospek dalam CRM merupakan aset yang kekal bernilai selepas kempen tamat — pangkalan data ini boleh diusahakan semula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Ketiadaan Alat Susulan Berskala: </w:t>
      </w:r>
      <w:r>
        <w:rPr>
          <w:rFonts w:ascii="Times New Roman" w:cs="Times New Roman" w:eastAsia="Times New Roman" w:hAnsi="Times New Roman"/>
          <w:sz w:val="24"/>
          <w:szCs w:val="24"/>
        </w:rPr>
        <w:t xml:space="preserve">Kempen berjaya menjana 3,470 prospek, namun tiada alat yang sesuai untuk menghubungi semula prospek pada skala tersebut. Penghantaran mesej pukal melalui akaun WhatsApp Business biasa berisiko menyebabkan akaun disekat atau digantung oleh Meta, manakala akaun WhatsApp Business API (WABA) yang membenarkan komunikasi berskala belum dilaksanakan. Ini menghadkan keupayaan memupuk prospek selepas borang diisi.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Rekod Status Prospek Tidak Lengkap: </w:t>
      </w:r>
      <w:r>
        <w:rPr>
          <w:rFonts w:ascii="Times New Roman" w:cs="Times New Roman" w:eastAsia="Times New Roman" w:hAnsi="Times New Roman"/>
          <w:sz w:val="24"/>
          <w:szCs w:val="24"/>
        </w:rPr>
        <w:t xml:space="preserve">Sistem CRM masih dalam fasa pelaksanaan sepanjang tempoh kempen, dan status prospek tidak dikemas kini secara konsisten selepas susulan dijalankan. Akibatnya, data CRM tidak boleh digunakan untuk mengukur kadar penukaran mengikut peringkat dengan tepat.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Ketiadaan Meta Pixel dan Strategi Pemasaran Semula: </w:t>
      </w:r>
      <w:r>
        <w:rPr>
          <w:rFonts w:ascii="Times New Roman" w:cs="Times New Roman" w:eastAsia="Times New Roman" w:hAnsi="Times New Roman"/>
          <w:sz w:val="24"/>
          <w:szCs w:val="24"/>
        </w:rPr>
        <w:t xml:space="preserve">Tanpa Meta Pixel di tvetlipis.my, audiens pemasaran semula tidak dapat dibina. Prospek yang tidak bertindak balas kepada sentuhan pertama tidak disasarkan semula secara berstruktur.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Ketergantungan kepada Algoritma Platform: </w:t>
      </w:r>
      <w:r>
        <w:rPr>
          <w:rFonts w:ascii="Times New Roman" w:cs="Times New Roman" w:eastAsia="Times New Roman" w:hAnsi="Times New Roman"/>
          <w:sz w:val="24"/>
          <w:szCs w:val="24"/>
        </w:rPr>
        <w:t xml:space="preserve">Jangkauan organik bergantung sepenuhnya kepada algoritma yang boleh berubah tanpa notis. Penurunan mendadak prospek Meta Ads daripada 798 (April) kepada 56 (Jun) menunjukkan risiko bergantung kepada satu platform tunggal.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Ketidaksempurnaan Data Prospek: </w:t>
      </w:r>
      <w:r>
        <w:rPr>
          <w:rFonts w:ascii="Times New Roman" w:cs="Times New Roman" w:eastAsia="Times New Roman" w:hAnsi="Times New Roman"/>
          <w:sz w:val="24"/>
          <w:szCs w:val="24"/>
        </w:rPr>
        <w:t xml:space="preserve">Borang Meta Ads tidak menangkap umur, menyebabkan 67.4% prospek tidak mempunyai data demografi yang lengkap untuk tujuan kualifikasi dan analisis.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Beban Kerja Pengurusan Pelbagai Platform: </w:t>
      </w:r>
      <w:r>
        <w:rPr>
          <w:rFonts w:ascii="Times New Roman" w:cs="Times New Roman" w:eastAsia="Times New Roman" w:hAnsi="Times New Roman"/>
          <w:sz w:val="24"/>
          <w:szCs w:val="24"/>
        </w:rPr>
        <w:t xml:space="preserve">Pengurusan tiga platform organik dan dua platform iklan berbayar secara serentak oleh satu individu menyebabkan beban kerja tinggi, terutamanya dalam tempoh kemuncak pengambilan.</w:t>
      </w:r>
    </w:p>
    <w:p>
      <w:pPr>
        <w:spacing w:after="120" w:before="360" w:line="360" w:lineRule="auto"/>
      </w:pPr>
      <w:r>
        <w:rPr>
          <w:rFonts w:ascii="Times New Roman" w:cs="Times New Roman" w:eastAsia="Times New Roman" w:hAnsi="Times New Roman"/>
          <w:b/>
          <w:bCs/>
          <w:sz w:val="24"/>
          <w:szCs w:val="24"/>
          <w:u w:val="single"/>
        </w:rPr>
        <w:t xml:space="preserve">4.3  Cadangan</w:t>
      </w:r>
    </w:p>
    <w:p>
      <w:pPr>
        <w:spacing w:after="240" w:before="0" w:line="360" w:lineRule="auto"/>
      </w:pPr>
      <w:r>
        <w:rPr>
          <w:rFonts w:ascii="Times New Roman" w:cs="Times New Roman" w:eastAsia="Times New Roman" w:hAnsi="Times New Roman"/>
          <w:sz w:val="24"/>
          <w:szCs w:val="24"/>
        </w:rPr>
        <w:t xml:space="preserve">Cadangan berikut disusun mengikut keutamaan berdasarkan potensi impak terhadap keberkesanan kempen pemasaran media sosial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Laksanakan WhatsApp Business API (WABA) sebagai Saluran Susulan Berskala</w:t>
      </w:r>
    </w:p>
    <w:p>
      <w:pPr>
        <w:spacing w:after="240" w:before="0" w:line="360" w:lineRule="auto"/>
      </w:pPr>
      <w:r>
        <w:rPr>
          <w:rFonts w:ascii="Times New Roman" w:cs="Times New Roman" w:eastAsia="Times New Roman" w:hAnsi="Times New Roman"/>
          <w:sz w:val="24"/>
          <w:szCs w:val="24"/>
        </w:rPr>
        <w:t xml:space="preserve">Cadangan ini mempunyai potensi impak terbesar. Kempen kini mampu menjana ribuan prospek, tetapi tiada saluran yang membenarkan komunikasi susulan pada skala tersebut. Akaun WhatsApp Business biasa tidak sesuai kerana penghantaran mesej pukal berisiko menyebabkan akaun disekat oleh Meta. Pelaksanaan WhatsApp Business API membolehkan penghantaran mesej templat yang diluluskan secara sah dan berskala, penjadualan mesej susulan automatik, serta integrasi terus dengan Sistem CRM. Ini melengkapkan rantaian kempen daripada penjanaan prospek kepada pemupukan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Agihkan Belanjawan Iklan Mengikut Prestasi Kos Setiap Saluran</w:t>
      </w:r>
    </w:p>
    <w:p>
      <w:pPr>
        <w:spacing w:after="240" w:before="0" w:line="360" w:lineRule="auto"/>
      </w:pPr>
      <w:r>
        <w:rPr>
          <w:rFonts w:ascii="Times New Roman" w:cs="Times New Roman" w:eastAsia="Times New Roman" w:hAnsi="Times New Roman"/>
          <w:sz w:val="24"/>
          <w:szCs w:val="24"/>
        </w:rPr>
        <w:t xml:space="preserve">Data enam bulan menunjukkan TikTok Ads beroperasi pada CPL RM2.03 berbanding Meta Ads RM4.28, sambil menyumbang 32.7% prospek daripada hanya 18.8% belanjawan. Sekiranya nisbah peruntukan diseimbangkan semula ke arah TikTok Ads pada kitaran akan datang, jumlah prospek yang lebih tinggi berpotensi dijana pada belanjawan yang sama. Dicadangkan pemantauan CPL dilakukan secara mingguan di kedua-dua platform, dan belanjawan dialihkan secara dinamik kepada saluran serta set iklan yang mencatatkan CPL terendah. Ujian diagnostik ke atas Meta Ads turut perlu dijalankan bagi menentukan sama ada CPL yang lebih tinggi berpunca daripada keletihan kreatif, persaingan bidaan atau ketepatan penyasaran.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Selaraskan Kandungan dengan Corak Permintaan Sebenar</w:t>
      </w:r>
    </w:p>
    <w:p>
      <w:pPr>
        <w:spacing w:after="240" w:before="0" w:line="360" w:lineRule="auto"/>
      </w:pPr>
      <w:r>
        <w:rPr>
          <w:rFonts w:ascii="Times New Roman" w:cs="Times New Roman" w:eastAsia="Times New Roman" w:hAnsi="Times New Roman"/>
          <w:sz w:val="24"/>
          <w:szCs w:val="24"/>
        </w:rPr>
        <w:t xml:space="preserve">Data prospek menunjukkan PAKK menyumbang 54.8% permintaan dan Pra-Sekolah 21.7% — bersamaan 76.5% permintaan tertumpu kepada dua program pendidikan kanak-kanak. Nisbah pengeluaran kandungan dan peruntukan iklan wajar diselaraskan mengikut corak permintaan ini. Penyasaran geografi juga perlu memberi keutamaan kepada Selangor, Kelantan, Pahang dan Johor yang mencatatkan bilangan prospek tertinggi.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Tingkatkan Pengeluaran Kandungan Bertema Motivasi dan Peluang Kedua</w:t>
      </w:r>
    </w:p>
    <w:p>
      <w:pPr>
        <w:spacing w:after="240" w:before="0" w:line="360" w:lineRule="auto"/>
      </w:pPr>
      <w:r>
        <w:rPr>
          <w:rFonts w:ascii="Times New Roman" w:cs="Times New Roman" w:eastAsia="Times New Roman" w:hAnsi="Times New Roman"/>
          <w:sz w:val="24"/>
          <w:szCs w:val="24"/>
        </w:rPr>
        <w:t xml:space="preserve">Video "Ini adalah peluang kedua anda!" mencatatkan 3,800,000 tontonan, jauh mengatasi kandungan promosi program biasa. Tema ini menyentuh keresahan sebenar audiens sasaran iaitu lepasan sekolah yang keputusan peperiksaannya tidak membolehkan kemasukan ke laluan akademik konvensional. Dicadangkan siri kandungan bertema serupa dibangunkan secara berkala, disokong oleh kandungan bersasarkan ibu bapa yang turut menunjukkan prestasi tinggi (502,900 tontonan).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Tambah Medan Kelayakan pada Borang Lead Generation Meta Ads</w:t>
      </w:r>
    </w:p>
    <w:p>
      <w:pPr>
        <w:spacing w:after="240" w:before="0" w:line="360" w:lineRule="auto"/>
      </w:pPr>
      <w:r>
        <w:rPr>
          <w:rFonts w:ascii="Times New Roman" w:cs="Times New Roman" w:eastAsia="Times New Roman" w:hAnsi="Times New Roman"/>
          <w:sz w:val="24"/>
          <w:szCs w:val="24"/>
        </w:rPr>
        <w:t xml:space="preserve">Borang TikTok Ads menangkap medan umur manakala borang Meta Ads tidak, menyebabkan hanya 32.6% rekod prospek mempunyai data umur yang lengkap. Penambahan medan umur dan status pemohon pada borang Meta Ads akan melengkapkan profil demografi prospek, membolehkan penilaian ketepatan penyasaran iklan dilakukan ke atas keseluruhan populasi prospek dan bukan subset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Pasang Meta Pixel dan Bina Audiens Pemasaran Semula</w:t>
      </w:r>
    </w:p>
    <w:p>
      <w:pPr>
        <w:spacing w:after="240" w:before="0" w:line="360" w:lineRule="auto"/>
      </w:pPr>
      <w:r>
        <w:rPr>
          <w:rFonts w:ascii="Times New Roman" w:cs="Times New Roman" w:eastAsia="Times New Roman" w:hAnsi="Times New Roman"/>
          <w:sz w:val="24"/>
          <w:szCs w:val="24"/>
        </w:rPr>
        <w:t xml:space="preserve">Pemasangan Meta Pixel di laman web akan membolehkan pembinaan audiens pemasaran semula daripada pelawat laman web, pengesanan penukaran yang lebih tepat, dan pengoptimuman automatik iklan berdasarkan data penukaran sebenar. Prospek yang tidak bertindak balas kepada iklan pertama boleh disasarkan semula secara automatik pada kos yang lebih rendah berbanding menjangkau audiens baharu.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Program Duta Pelajar dan Perluasan ke YouTube Shorts</w:t>
      </w:r>
    </w:p>
    <w:p>
      <w:pPr>
        <w:spacing w:after="240" w:before="0" w:line="360" w:lineRule="auto"/>
      </w:pPr>
      <w:r>
        <w:rPr>
          <w:rFonts w:ascii="Times New Roman" w:cs="Times New Roman" w:eastAsia="Times New Roman" w:hAnsi="Times New Roman"/>
          <w:sz w:val="24"/>
          <w:szCs w:val="24"/>
        </w:rPr>
        <w:t xml:space="preserve">Melibatkan pelajar semasa sebagai pencipta kandungan akan meningkatkan keaslian mesej sambil mengurangkan beban pengeluaran kandungan yang kini ditanggung oleh seorang individu. Kandungan video pendek sedia ada juga boleh diterbitkan semula di YouTube Shorts tanpa kos pengeluaran tambahan (Tuten &amp; Solomon, 2020).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Selaraskan Penggunaan Sistem CRM dengan Aliran Kerja Sebenar</w:t>
      </w:r>
    </w:p>
    <w:p>
      <w:pPr>
        <w:spacing w:after="240" w:before="0" w:line="360" w:lineRule="auto"/>
      </w:pPr>
      <w:r>
        <w:rPr>
          <w:rFonts w:ascii="Times New Roman" w:cs="Times New Roman" w:eastAsia="Times New Roman" w:hAnsi="Times New Roman"/>
          <w:sz w:val="24"/>
          <w:szCs w:val="24"/>
        </w:rPr>
        <w:t xml:space="preserve">Sistem CRM perlu diselaraskan dengan cara pasukan pengambilan bekerja sebenarnya, iaitu melalui WhatsApp dan bukan panggilan telefon. Integrasi antara WABA dan CRM akan membolehkan status prospek dikemas kini secara automatik apabila mesej dihantar atau dibalas, tanpa memerlukan kemasukan data manual. Ini akan menghasilkan data prestasi yang lebih tepat untuk penilaian kempen pada masa hadapan.</w:t>
      </w:r>
    </w:p>
    <w:p>
      <w:pPr>
        <w:spacing w:after="120" w:before="360" w:line="360" w:lineRule="auto"/>
      </w:pPr>
      <w:r>
        <w:rPr>
          <w:rFonts w:ascii="Times New Roman" w:cs="Times New Roman" w:eastAsia="Times New Roman" w:hAnsi="Times New Roman"/>
          <w:b/>
          <w:bCs/>
          <w:sz w:val="24"/>
          <w:szCs w:val="24"/>
          <w:u w:val="single"/>
        </w:rPr>
        <w:t xml:space="preserve">4.4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 memantau dan menilai kempen pemasaran media sosial bersepadu TVET Lipis sepanjang Januari hingga Jun 2026, merangkumi kandungan organik di TikTok, Instagram dan Facebook serta kempen iklan berbayar Lead Generation di Meta Ads dan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yang ditetapkan dalam Bab 1 telah ditangani. Objektif pertama dicapai melalui pembangunan dan pelaksanaan Kalendar Kandungan enam bulan serta pengurusan kempen iklan di dua platform. Objektif kedua dicapai melalui pengumpulan dan analisis metrik prestasi yang menghasilkan dapatan terperinci mengikut sumber, bulan, kursus, umur dan negeri. Objektif ketiga dicapai sebahagian — penjanaan prospek melebihi jangkaan dengan 3,470 prospek direkodkan, namun kadar penukaran kepada pendaftaran hanya 0.46%.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ini menghasilkan 2,927,157 tontonan video, jangkauan audiens 2,622,406, dan 3,470 prospek dalam talian yang boleh dikesan sumbernya. Bagi sebuah institusi kemahiran di Kuala Lipis, pencapaian ini membuktikan bahawa strategi media sosial yang berstruktur mampu mengatasi batasan geografi yang selama ini menghadkan jangkauan pemasaran institusi luar bandar.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Pengajaran paling bernilai daripada kempen ini ialah kepentingan mengukur prestasi menggunakan metrik yang berada dalam kawalan sebenar kempen. Jangkauan, penglibatan, bilangan prospek dan kos per prospek merupakan hasil langsung keputusan pemasaran yang dibuat, manakala pendaftaran akhir bergantung kepada rantaian proses yang lebih panjang di luar skop pemasaran. Kempen ini juga mendedahkan bahawa keupayaan menjana prospek pada skala besar perlu diseimbangkan dengan alat komunikasi susulan yang bersesuaian — satu keperluan yang kini dikenal pasti dan dicadangkan penyelesaiannya melalui pelaksanaan WhatsApp Business API.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Keupayaan mengenal pasti kelemahan ini secara jujur berdasarkan data, membezakan antara kegagalan pemasaran dan kegagalan operasi, serta mengemukakan cadangan pembetulan yang disusun mengikut potensi impak — merupakan bukti kompetensi pada peringkat Diploma Kemahiran Malaysia Tahap 4, selaras dengan kehendak NOSS M731-001-4:2021 CU C01 – Implement Social Media Marketing Campaign Plan.</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Datareportal. (2024). Digital 2024: Malaysia. https://datareportal.com/reports/digital-2024-malaysia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A. M., &amp; Haenlein, M. (2010). Users of the world, unite! The challenges and opportunities of Social Media. Business Horizons, 53(1), 59–68.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Keegan, B. J., &amp; Rowley, J. (2017). Evaluation and decision making in social media marketing. Management Decision, 55(1), 15–31.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Peruta, A., &amp; Shields, A. B. (2017). Social media in higher education: understanding how colleges and universities use Facebook. Journal of Marketing for Higher Education, 27(1), 131–143.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NOTA: Lampiran tidak melebihi 20 mukasurat (keperluan JPK). Tampal tangkapan skrin anda mengikut arahan merah dalam dokumen ini.</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 (Jan–Jun 2026)</w:t>
      </w:r>
    </w:p>
    <w:p>
      <w:pPr>
        <w:spacing w:after="240" w:before="0" w:line="360" w:lineRule="auto"/>
      </w:pPr>
      <w:r>
        <w:rPr>
          <w:rFonts w:ascii="Times New Roman" w:cs="Times New Roman" w:eastAsia="Times New Roman" w:hAnsi="Times New Roman"/>
          <w:sz w:val="24"/>
          <w:szCs w:val="24"/>
        </w:rPr>
        <w:t xml:space="preserve">Tangkapan skrin Kalendar Kandungan yang menunjukkan tema, platform, format, dan tarikh siaran setiap kandungan.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Google Sheets/Notion/app Kalendar anda → Tukar paparan ke Jan 2026 → Screenshot. Ulang untuk setiap bulan Jun ATAU ambil screenshot overview keseluruhan 6 bulan jika paparan membenarkan.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Overview bulanan, 5 video teratas, dan demografi pengikut.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TikTok (akaun Business/Creator) → Profil → Business Suite → Analytics. Tab "Overview": Screenshot untuk setiap bulan Jan-Jun. Tab "Content": Screenshot 5 video dengan Views tertinggi. Tab "Followers": Screenshot Follower Growth dan Demographics.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Overview bulanan, kandungan teratas, dan demografi audiens.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Instagram → Profil → Professional Dashboard → Insights. Tukar tempoh ke setiap bulan. Screenshot: (1) Accounts Reached, (2) Accounts Engaged, (3) Total Followers. Dalam Content → Screenshot 5 post dengan Reach/Engagement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 dan TikTok Ads Manager</w:t>
      </w:r>
    </w:p>
    <w:p>
      <w:pPr>
        <w:spacing w:after="240" w:before="0" w:line="360" w:lineRule="auto"/>
      </w:pPr>
      <w:r>
        <w:rPr>
          <w:rFonts w:ascii="Times New Roman" w:cs="Times New Roman" w:eastAsia="Times New Roman" w:hAnsi="Times New Roman"/>
          <w:sz w:val="24"/>
          <w:szCs w:val="24"/>
        </w:rPr>
        <w:t xml:space="preserve">Tangkapan skrin Meta Ads Manager dan TikTok Ads Manager merangkumi semua kempen, prestasi set iklan, perbelanjaan dan kos per prospek.</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business.facebook.com → Ads Manager → Campaigns. Tukar tarikh ke Jan 1-Jun 30, 2026. Screenshot jadual dengan columns: Campaign Name, Reach, Impressions, CTR, CPC, Leads, Cost Per Lead, Amount Spent. Klik masuk ke setiap Campaign → Screenshot Ad Sets. Klik Ads → Screenshot iklan-iklan dengan CTR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Performance Overview, Top Queries, dan Top Pages.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search.google.com/search-console → tvetlipis.my → Performance → Search Results. Tukar tarikh ke Jan 1-Jun 30, 2026. Screenshot: (1) Halaman Overview (klik, tayangan, CTR, kedudukan), (2) Tab Queries — 10 kata kunci teratas, (3) Tab Pages — halaman dengan klik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Data Prospek daripada CRM TVET Lipis</w:t>
      </w:r>
    </w:p>
    <w:p>
      <w:pPr>
        <w:spacing w:after="240" w:before="0" w:line="360" w:lineRule="auto"/>
      </w:pPr>
      <w:r>
        <w:rPr>
          <w:rFonts w:ascii="Times New Roman" w:cs="Times New Roman" w:eastAsia="Times New Roman" w:hAnsi="Times New Roman"/>
          <w:sz w:val="24"/>
          <w:szCs w:val="24"/>
        </w:rPr>
        <w:t xml:space="preserve">Tangkapan skrin CRM menunjukkan senarai prospek online, sumber, kursus diminati, dan status/peringkat.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CRM TVET Lipis → All Leads → Tapis: Tarikh Cipta = Jan-Jun 2026. Screenshot senarai lead dengan lajur Nama, Kursus, Sumber, Peringkat. Kemudian Tapis mengikut Source = "Facebook"/"Instagram"/"Meta Ads" untuk tunjukkan bilangan lead dari setiap platform. Screenshot juga paparan Dashboard/Pipeline.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Terbaik yang Diterbitkan</w:t>
      </w:r>
    </w:p>
    <w:p>
      <w:pPr>
        <w:spacing w:after="240" w:before="0" w:line="360" w:lineRule="auto"/>
      </w:pPr>
      <w:r>
        <w:rPr>
          <w:rFonts w:ascii="Times New Roman" w:cs="Times New Roman" w:eastAsia="Times New Roman" w:hAnsi="Times New Roman"/>
          <w:sz w:val="24"/>
          <w:szCs w:val="24"/>
        </w:rPr>
        <w:t xml:space="preserve">Tangkapan skrin 5–10 kandungan (video/gambar) terbaik dari TikTok, Instagram dan Facebook sepanjang kempen.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Pergi ke setiap platform → Profil → Pilih post/video yang mendapat penglibatan terbaik → Ambil tangkapan skrin yang menunjukkan gambar/thumbnail kandungan DAN bilangan likes/comments/shares/views.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2026-08-17T11:02:47.720Z</dcterms:created>
  <dcterms:modified xsi:type="dcterms:W3CDTF">2026-08-17T11:02:47.721Z</dcterms:modified>
</cp:coreProperties>
</file>

<file path=docProps/custom.xml><?xml version="1.0" encoding="utf-8"?>
<Properties xmlns="http://schemas.openxmlformats.org/officeDocument/2006/custom-properties" xmlns:vt="http://schemas.openxmlformats.org/officeDocument/2006/docPropsVTypes"/>
</file>