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color w:val="1F3864"/>
        </w:rPr>
        <w:t>CU1 — Social Media Marketing</w:t>
        <w:br/>
        <w:t>Paid Advertisement Campaign Proposal</w:t>
      </w:r>
    </w:p>
    <w:p>
      <w:pPr>
        <w:spacing w:after="40"/>
      </w:pPr>
      <w:r>
        <w:rPr>
          <w:b/>
          <w:sz w:val="20"/>
        </w:rPr>
        <w:t xml:space="preserve">Ref: </w:t>
      </w:r>
      <w:r>
        <w:rPr>
          <w:sz w:val="20"/>
        </w:rPr>
        <w:t>TVET-CU1-SMM-005</w:t>
      </w:r>
    </w:p>
    <w:p>
      <w:pPr>
        <w:spacing w:after="40"/>
      </w:pPr>
      <w:r>
        <w:rPr>
          <w:b/>
          <w:sz w:val="20"/>
        </w:rPr>
        <w:t xml:space="preserve">Organisation: </w:t>
      </w:r>
      <w:r>
        <w:rPr>
          <w:sz w:val="20"/>
        </w:rPr>
        <w:t>TVET Lipis — Fokus Kiara Sdn Bhd</w:t>
      </w:r>
    </w:p>
    <w:p>
      <w:pPr>
        <w:spacing w:after="40"/>
      </w:pPr>
      <w:r>
        <w:rPr>
          <w:b/>
          <w:sz w:val="20"/>
        </w:rPr>
        <w:t xml:space="preserve">Prepared by: </w:t>
      </w:r>
      <w:r>
        <w:rPr>
          <w:sz w:val="20"/>
        </w:rPr>
        <w:t>Zuriel Seong Ming Ee — Head of Sales &amp; Digital Marketing</w:t>
      </w:r>
    </w:p>
    <w:p>
      <w:pPr>
        <w:spacing w:after="40"/>
      </w:pPr>
      <w:r>
        <w:rPr>
          <w:b/>
          <w:sz w:val="20"/>
        </w:rPr>
        <w:t xml:space="preserve">Campaign: </w:t>
      </w:r>
      <w:r>
        <w:rPr>
          <w:sz w:val="20"/>
        </w:rPr>
        <w:t>2026 Recruitment Drive (Paid Tier)</w:t>
      </w:r>
    </w:p>
    <w:p>
      <w:pPr>
        <w:spacing w:after="40"/>
      </w:pPr>
      <w:r>
        <w:rPr>
          <w:b/>
          <w:sz w:val="20"/>
        </w:rPr>
        <w:t xml:space="preserve">Platform: </w:t>
      </w:r>
      <w:r>
        <w:rPr>
          <w:sz w:val="20"/>
        </w:rPr>
        <w:t>Meta Ads — Facebook + Instagram</w:t>
      </w:r>
    </w:p>
    <w:p>
      <w:pPr>
        <w:spacing w:after="40"/>
      </w:pPr>
      <w:r>
        <w:rPr>
          <w:b/>
          <w:sz w:val="20"/>
        </w:rPr>
        <w:t xml:space="preserve">Work Activities Covered: </w:t>
      </w:r>
      <w:r>
        <w:rPr>
          <w:sz w:val="20"/>
        </w:rPr>
        <w:t>WA5 (Plan Paid Social Media), WA6 (Implement Paid Campaign)</w:t>
      </w:r>
    </w:p>
    <w:p/>
    <w:p>
      <w:pPr>
        <w:pStyle w:val="Heading2"/>
        <w:jc w:val="left"/>
      </w:pPr>
      <w:r>
        <w:rPr>
          <w:color w:val="1F3864"/>
        </w:rPr>
        <w:t>1. Strategic Purpose</w:t>
      </w:r>
    </w:p>
    <w:p>
      <w:r>
        <w:rPr>
          <w:b w:val="0"/>
          <w:i w:val="0"/>
          <w:sz w:val="22"/>
        </w:rPr>
        <w:t>This Paid Advertisement Proposal defines the budget, targeting parameters, and A/B testing strategy for TVET Lipis's paid social media component of the 2026 Recruitment Drive. Paid campaigns amplify organic reach and accelerate lead generation during the critical 8-week pre-intake window. All proposed spend and targeting criteria are derived from the historical performance of the "Full Time Parents 2026" campaign and are presented for management budget approval.</w:t>
      </w:r>
    </w:p>
    <w:p>
      <w:pPr>
        <w:pStyle w:val="Heading2"/>
        <w:jc w:val="left"/>
      </w:pPr>
      <w:r>
        <w:rPr>
          <w:color w:val="1F3864"/>
        </w:rPr>
        <w:t>2. Historical Performance Baseline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7A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041"/>
            <w:shd w:val="clear" w:color="auto" w:fill="1A7A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Historical Benchmark (act_494800392480239)</w:t>
            </w:r>
          </w:p>
        </w:tc>
        <w:tc>
          <w:tcPr>
            <w:tcW w:type="dxa" w:w="3041"/>
            <w:shd w:val="clear" w:color="auto" w:fill="1A7A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Target for 2026 Drive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Cost Per Lead (CPL)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RM 4.61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≤ RM 5.00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CTR (all)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1.33%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≥ 1.50%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Top Segment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Female, 35–44 years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Maintain + expand 25–34 female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Top Placement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Facebook News Feed (Mobile)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Facebook News Feed + IG Reels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Top Content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"PAKK Copywriting Lama"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Copywriting + Video A/B test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3. Budget &amp; Target Matching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Campaign Objective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Target Metric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Volume Target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Est. Cost / Result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Required Budget (MYR)</w:t>
            </w:r>
          </w:p>
        </w:tc>
      </w:tr>
      <w:tr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Lead Generation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Leads (Meta Lead Form)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RM 5.00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RM 1,000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Engagement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Post Likes + Comments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1,000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RM 0.20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RM 200</w:t>
            </w:r>
          </w:p>
        </w:tc>
      </w:tr>
      <w:tr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Brand Awareness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Video Views (3-second)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10,000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RM 0.05</w:t>
            </w:r>
          </w:p>
        </w:tc>
        <w:tc>
          <w:tcPr>
            <w:tcW w:type="dxa" w:w="1824"/>
            <w:shd w:val="clear" w:color="auto" w:fill="F2F2F2"/>
          </w:tcPr>
          <w:p>
            <w:r>
              <w:rPr>
                <w:sz w:val="18"/>
              </w:rPr>
              <w:t>RM 500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Total Campaign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sz w:val="18"/>
              </w:rPr>
              <w:t>RM 1,700</w:t>
            </w:r>
          </w:p>
        </w:tc>
      </w:tr>
    </w:tbl>
    <w:p/>
    <w:p>
      <w:r>
        <w:rPr>
          <w:b w:val="0"/>
          <w:i w:val="0"/>
          <w:sz w:val="22"/>
        </w:rPr>
        <w:t>Note: RM 1,700 covers an 8-week paid media window. Full 90-day campaign budget is RM 3,115 (includes creative, tools, and additional lead gen spend — see Strategic Plan TVET-CU1-SMM-003).</w:t>
      </w:r>
    </w:p>
    <w:p>
      <w:pPr>
        <w:pStyle w:val="Heading2"/>
        <w:jc w:val="left"/>
      </w:pPr>
      <w:r>
        <w:rPr>
          <w:color w:val="1F3864"/>
        </w:rPr>
        <w:t>4. Targeting Strategy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Targeting Dimension</w:t>
            </w:r>
          </w:p>
        </w:tc>
        <w:tc>
          <w:tcPr>
            <w:tcW w:type="dxa" w:w="456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</w:tr>
      <w:tr>
        <w:tc>
          <w:tcPr>
            <w:tcW w:type="dxa" w:w="4561"/>
            <w:shd w:val="clear" w:color="auto" w:fill="F2F2F2"/>
          </w:tcPr>
          <w:p>
            <w:r>
              <w:rPr>
                <w:sz w:val="18"/>
              </w:rPr>
              <w:t>Primary placement</w:t>
            </w:r>
          </w:p>
        </w:tc>
        <w:tc>
          <w:tcPr>
            <w:tcW w:type="dxa" w:w="4561"/>
            <w:shd w:val="clear" w:color="auto" w:fill="F2F2F2"/>
          </w:tcPr>
          <w:p>
            <w:r>
              <w:rPr>
                <w:sz w:val="18"/>
              </w:rPr>
              <w:t>Facebook News Feed (Mobile) — 65% of spend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Secondary placement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Instagram Reels + Feed — 35% of spend</w:t>
            </w:r>
          </w:p>
        </w:tc>
      </w:tr>
      <w:tr>
        <w:tc>
          <w:tcPr>
            <w:tcW w:type="dxa" w:w="4561"/>
            <w:shd w:val="clear" w:color="auto" w:fill="F2F2F2"/>
          </w:tcPr>
          <w:p>
            <w:r>
              <w:rPr>
                <w:sz w:val="18"/>
              </w:rPr>
              <w:t>Geography</w:t>
            </w:r>
          </w:p>
        </w:tc>
        <w:tc>
          <w:tcPr>
            <w:tcW w:type="dxa" w:w="4561"/>
            <w:shd w:val="clear" w:color="auto" w:fill="F2F2F2"/>
          </w:tcPr>
          <w:p>
            <w:r>
              <w:rPr>
                <w:sz w:val="18"/>
              </w:rPr>
              <w:t>Malaysia — Pahang (primary), Kelantan, Terengganu, Perak (secondary)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Age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25–44 years (35–44 primary; 25–34 secondary)</w:t>
            </w:r>
          </w:p>
        </w:tc>
      </w:tr>
      <w:tr>
        <w:tc>
          <w:tcPr>
            <w:tcW w:type="dxa" w:w="4561"/>
            <w:shd w:val="clear" w:color="auto" w:fill="F2F2F2"/>
          </w:tcPr>
          <w:p>
            <w:r>
              <w:rPr>
                <w:sz w:val="18"/>
              </w:rPr>
              <w:t>Gender</w:t>
            </w:r>
          </w:p>
        </w:tc>
        <w:tc>
          <w:tcPr>
            <w:tcW w:type="dxa" w:w="4561"/>
            <w:shd w:val="clear" w:color="auto" w:fill="F2F2F2"/>
          </w:tcPr>
          <w:p>
            <w:r>
              <w:rPr>
                <w:sz w:val="18"/>
              </w:rPr>
              <w:t>Female (primary); Male (secondary — parents of graduates)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Interests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"Higher Education", "Vocational Training", "Parenting", "Early Childhood Education"</w:t>
            </w:r>
          </w:p>
        </w:tc>
      </w:tr>
      <w:tr>
        <w:tc>
          <w:tcPr>
            <w:tcW w:type="dxa" w:w="4561"/>
            <w:shd w:val="clear" w:color="auto" w:fill="F2F2F2"/>
          </w:tcPr>
          <w:p>
            <w:r>
              <w:rPr>
                <w:sz w:val="18"/>
              </w:rPr>
              <w:t>Behaviours</w:t>
            </w:r>
          </w:p>
        </w:tc>
        <w:tc>
          <w:tcPr>
            <w:tcW w:type="dxa" w:w="4561"/>
            <w:shd w:val="clear" w:color="auto" w:fill="F2F2F2"/>
          </w:tcPr>
          <w:p>
            <w:r>
              <w:rPr>
                <w:sz w:val="18"/>
              </w:rPr>
              <w:t>Parents with children aged 13–18; engaged with TVET/education pages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Retargeting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sz w:val="18"/>
              </w:rPr>
              <w:t>Custom Audience: Website visitors + video viewers (70%+ completion)</w:t>
            </w:r>
          </w:p>
        </w:tc>
      </w:tr>
      <w:tr>
        <w:tc>
          <w:tcPr>
            <w:tcW w:type="dxa" w:w="4561"/>
            <w:shd w:val="clear" w:color="auto" w:fill="F2F2F2"/>
          </w:tcPr>
          <w:p>
            <w:r>
              <w:rPr>
                <w:sz w:val="18"/>
              </w:rPr>
              <w:t>Lookalike</w:t>
            </w:r>
          </w:p>
        </w:tc>
        <w:tc>
          <w:tcPr>
            <w:tcW w:type="dxa" w:w="4561"/>
            <w:shd w:val="clear" w:color="auto" w:fill="F2F2F2"/>
          </w:tcPr>
          <w:p>
            <w:r>
              <w:rPr>
                <w:sz w:val="18"/>
              </w:rPr>
              <w:t>1% Lookalike from existing Lead Form converters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5. A/B Testing Plan</w:t>
      </w:r>
    </w:p>
    <w:p>
      <w:r>
        <w:rPr>
          <w:b w:val="0"/>
          <w:i w:val="0"/>
          <w:sz w:val="22"/>
        </w:rPr>
        <w:t>Management decision: Run creative A/B test in Week 1–2 to identify top performer before scaling spend: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7A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Variable</w:t>
            </w:r>
          </w:p>
        </w:tc>
        <w:tc>
          <w:tcPr>
            <w:tcW w:type="dxa" w:w="2280"/>
            <w:shd w:val="clear" w:color="auto" w:fill="1A7A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Variant A (Control)</w:t>
            </w:r>
          </w:p>
        </w:tc>
        <w:tc>
          <w:tcPr>
            <w:tcW w:type="dxa" w:w="2280"/>
            <w:shd w:val="clear" w:color="auto" w:fill="1A7A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Variant B (Challenger)</w:t>
            </w:r>
          </w:p>
        </w:tc>
        <w:tc>
          <w:tcPr>
            <w:tcW w:type="dxa" w:w="2280"/>
            <w:shd w:val="clear" w:color="auto" w:fill="1A7A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Decision Criteria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Ad Format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"PAKK Copywriting Lama" (proven)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New 30-sec Reel (student testimonial)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Higher CTR + lower CPL at Day 7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Headline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"Anak Anda Boleh Dapat DKM"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"Belajar PERCUMA dengan PTPK"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Higher click-through rate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CTA Button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"Learn More"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"Sign Up"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Higher lead form completion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Audience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Interest-based broad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Lookalike 1% from existing leads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Lower CPL at Day 14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6. Optimization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Optimization Action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Decision Authority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Week 1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Launch all variants; monitor CTR and CPM daily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Zuriel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Week 2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Pause underperforming variants (CTR &lt; 1.0%)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Zuriel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Week 3–4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Scale winning variant; add lookalike audiences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Zuriel (inform Lee Bee Chuan)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Week 5–6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Introduce retargeting campaigns to warm audience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Zuriel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Week 7–8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Final push: urgency creatives "Limited Seats"; increase budget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Lee Bee Chuan approval required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Post-camp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90-day performance report to management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Zuriel → Lee Bee Chuan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7. Management Focus — Budget Approval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Budget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2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Approval Required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Phase 1 — Testing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RM 400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Week 1–2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Pre-approved (Zuriel discretion ≤ RM 500)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Phase 2 — Scaling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RM 800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Week 3–6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Lee Bee Chuan sign-off required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Phase 3 — Final Push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RM 500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Week 7–8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Lee Bee Chuan sign-off required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RM 1,700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8 weeks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7A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type="dxa" w:w="3041"/>
            <w:shd w:val="clear" w:color="auto" w:fill="1A7A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3041"/>
            <w:shd w:val="clear" w:color="auto" w:fill="1A7A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Daily spend monitoring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Zuriel Seong Ming Ee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Daily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Weekly performance report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Zuriel → Lee Bee Chuan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Weekly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Budget phase approval (Phase 2 &amp; 3)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Lee Bee Chuan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Week 2 + Week 6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Creative production (new assets)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Zuriel + Designer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sz w:val="18"/>
              </w:rPr>
              <w:t>Bi-weekly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A/B test outcome decision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Zuriel (brief to mgmt)</w:t>
            </w:r>
          </w:p>
        </w:tc>
        <w:tc>
          <w:tcPr>
            <w:tcW w:type="dxa" w:w="3041"/>
            <w:shd w:val="clear" w:color="auto" w:fill="F2F2F2"/>
          </w:tcPr>
          <w:p>
            <w:r>
              <w:rPr>
                <w:sz w:val="18"/>
              </w:rPr>
              <w:t>Week 2</w:t>
            </w:r>
          </w:p>
        </w:tc>
      </w:tr>
    </w:tbl>
    <w:p/>
    <w:p/>
    <w:p>
      <w:pPr>
        <w:pStyle w:val="Heading2"/>
        <w:jc w:val="left"/>
      </w:pPr>
      <w:r>
        <w:rPr>
          <w:color w:val="C0392B"/>
        </w:rPr>
        <w:t>Approval Section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28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28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228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Prepared by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Zuriel Seong Ming Ee — Head of Sales &amp; Digital Marketing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___________________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___________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Reviewed by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[PPT Supervisor / Assessor — Pending]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___________________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sz w:val="18"/>
              </w:rPr>
              <w:t>___________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Approved by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Lee Bee Chuan</w:t>
              <w:br/>
              <w:t>Managing Director, Fokus Kiara Sdn Bhd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___________________</w:t>
            </w:r>
          </w:p>
        </w:tc>
        <w:tc>
          <w:tcPr>
            <w:tcW w:type="dxa" w:w="2280"/>
            <w:shd w:val="clear" w:color="auto" w:fill="F2F2F2"/>
          </w:tcPr>
          <w:p>
            <w:r>
              <w:rPr>
                <w:sz w:val="18"/>
              </w:rPr>
              <w:t>___________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