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3864"/>
        </w:rPr>
        <w:t>CU3 — Search Engine Marketing (SEM)</w:t>
        <w:br/>
        <w:t>Budget Allocation &amp; Bidding Strategy</w:t>
      </w:r>
    </w:p>
    <w:p>
      <w:pPr>
        <w:spacing w:after="40"/>
      </w:pPr>
      <w:r>
        <w:rPr>
          <w:b/>
          <w:sz w:val="20"/>
        </w:rPr>
        <w:t xml:space="preserve">Ref: </w:t>
      </w:r>
      <w:r>
        <w:rPr>
          <w:sz w:val="20"/>
        </w:rPr>
        <w:t>TVET-CU3-SEM-002</w:t>
      </w:r>
    </w:p>
    <w:p>
      <w:pPr>
        <w:spacing w:after="40"/>
      </w:pPr>
      <w:r>
        <w:rPr>
          <w:b/>
          <w:sz w:val="20"/>
        </w:rPr>
        <w:t xml:space="preserve">Organisation: </w:t>
      </w:r>
      <w:r>
        <w:rPr>
          <w:sz w:val="20"/>
        </w:rPr>
        <w:t>TVET Lipis (tvetlipis.my) — Fokus Kiara Sdn Bhd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Zuriel Seong Ming Ee — Head of Sales &amp; Digital Marketing</w:t>
      </w:r>
    </w:p>
    <w:p>
      <w:pPr>
        <w:spacing w:after="40"/>
      </w:pPr>
      <w:r>
        <w:rPr>
          <w:b/>
          <w:sz w:val="20"/>
        </w:rPr>
        <w:t xml:space="preserve">Budget Period: </w:t>
      </w:r>
      <w:r>
        <w:rPr>
          <w:sz w:val="20"/>
        </w:rPr>
        <w:t>April – June 2025 (3-month pilot)</w:t>
      </w:r>
    </w:p>
    <w:p>
      <w:pPr>
        <w:spacing w:after="40"/>
      </w:pPr>
      <w:r>
        <w:rPr>
          <w:b/>
          <w:sz w:val="20"/>
        </w:rPr>
        <w:t xml:space="preserve">Work Activities Covered: </w:t>
      </w:r>
      <w:r>
        <w:rPr>
          <w:sz w:val="20"/>
        </w:rPr>
        <w:t>WA3 (Plan SEM Budget), WA4 (Implement SEM)</w:t>
      </w:r>
    </w:p>
    <w:p/>
    <w:p>
      <w:pPr>
        <w:pStyle w:val="Heading2"/>
        <w:jc w:val="left"/>
      </w:pPr>
      <w:r>
        <w:rPr>
          <w:color w:val="1F3864"/>
        </w:rPr>
        <w:t>1. Strategic Purpose</w:t>
      </w:r>
    </w:p>
    <w:p>
      <w:r>
        <w:rPr>
          <w:b w:val="0"/>
          <w:i w:val="0"/>
          <w:sz w:val="22"/>
        </w:rPr>
        <w:t>This document details the RM 900 three-month Google Ads budget allocation for TVET Lipis's first SEM pilot campaign. Budget is distributed across ad groups based on keyword intent hierarchy, with a conservative Manual CPC bidding strategy transitioning to Smart Bidding after 30 days of conversion data. The plan includes daily caps, ad group splits, and a weekly optimisation schedule.</w:t>
      </w:r>
    </w:p>
    <w:p>
      <w:pPr>
        <w:pStyle w:val="Heading2"/>
        <w:jc w:val="left"/>
      </w:pPr>
      <w:r>
        <w:rPr>
          <w:color w:val="1F3864"/>
        </w:rPr>
        <w:t>2. Total Budget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Budget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Daily Cap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Clicks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Leads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April 2025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300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10/day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250–400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10–15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May 2025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300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10/day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250–400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10–15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June 2025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300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10/day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250–400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12–18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Total / Avg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900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10/day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750–1,200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32–48</w:t>
            </w:r>
          </w:p>
        </w:tc>
      </w:tr>
    </w:tbl>
    <w:p/>
    <w:p>
      <w:r>
        <w:rPr>
          <w:b w:val="0"/>
          <w:i w:val="0"/>
          <w:sz w:val="22"/>
        </w:rPr>
        <w:t>Assumptions: Avg CPC RM 0.75, CTR 5%, Conversion rate 4%. All figures are estimates pending live campaign data.</w:t>
      </w:r>
    </w:p>
    <w:p>
      <w:pPr>
        <w:pStyle w:val="Heading2"/>
        <w:jc w:val="left"/>
      </w:pPr>
      <w:r>
        <w:rPr>
          <w:color w:val="1F3864"/>
        </w:rPr>
        <w:t>3. Ad Group Budget Distribution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 Group</w:t>
            </w:r>
          </w:p>
        </w:tc>
        <w:tc>
          <w:tcPr>
            <w:tcW w:type="dxa" w:w="1824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Budget</w:t>
            </w:r>
          </w:p>
        </w:tc>
        <w:tc>
          <w:tcPr>
            <w:tcW w:type="dxa" w:w="1824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of Total</w:t>
            </w:r>
          </w:p>
        </w:tc>
        <w:tc>
          <w:tcPr>
            <w:tcW w:type="dxa" w:w="1824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 CPC</w:t>
            </w:r>
          </w:p>
        </w:tc>
        <w:tc>
          <w:tcPr>
            <w:tcW w:type="dxa" w:w="1824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Program — PAKK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90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1.50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Highest enrollment demand — primary program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Program — Multimedia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60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1.20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Strong youth market appeal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Program — Elektrik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60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1.80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High-intent trade seekers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PPT / DKM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45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1.00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Niche high-value audience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30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0.50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Brand protection — low CPC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Location / Generic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15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0.70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Discovery traffic support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300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--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--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4. Bidding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Bidding Strategy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Phase 1 — Learning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Week 1–2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Manual CPC (conservative)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Establish baseline data safely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Phase 2 — Optimising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Week 3–6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Enhanced CPC (eCPC)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Allow Google micro-adjustments within cap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Phase 3 — Smart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Week 7+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Target CPA (if ≥30 conversions)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Automated bidding towards lead cost target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If CPA insufficient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Return to Manual CPC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Prevent budget overrun on poor performers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5. Weekly Optimisation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 Used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Launch campaign, monitor CTR and impressions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Google Ads Dashboard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Add negative keywords from search term report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Search Terms Report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Week 3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A/B test ad headlines; pause low-CTR ads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Ad Performance Report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Review Quality Score; update landing page if QS &lt; 6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Keywords Report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Full budget review; reallocate to best-performing ad groups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Monthly Report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6. KPIs &amp; Success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(Month 1)</w:t>
            </w:r>
          </w:p>
        </w:tc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(Month 3)</w:t>
            </w:r>
          </w:p>
        </w:tc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Measurement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Click-Through Rate (CTR)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4%+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6%+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Google Ads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Cost Per Click (CPC)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&lt; RM 1.20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&lt; RM 0.90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Google Ads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Conversion Rate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3%+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5%+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Google Ads Conversions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Cost Per Lead (CPL)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&lt; RM 40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&lt; RM 25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Conversions ÷ Spend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Quality Score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6/10+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7/10+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Google Ads Keywords tab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Impressions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5,000+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8,000+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Google Ads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Leads Generated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10+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15+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CRM / WhatsApp log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7. Management Focus — Task Delegation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Campaign setup &amp; go-live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One-time (Apr 2025)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Daily budget monitoring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Weekly optimisation report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→ Lee Bee Chuan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Ad copy refresh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Monthly performance report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(report to management)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Budget reallocation decisions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Lee Bee Chuan (approval required)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Monthly</w:t>
            </w:r>
          </w:p>
        </w:tc>
      </w:tr>
    </w:tbl>
    <w:p/>
    <w:p/>
    <w:p>
      <w:pPr>
        <w:pStyle w:val="Heading2"/>
        <w:jc w:val="left"/>
      </w:pPr>
      <w:r>
        <w:rPr>
          <w:color w:val="C0392B"/>
        </w:rPr>
        <w:t>Approval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[PPT Supervisor / Assessor — Pending]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Lee Bee Chuan</w:t>
              <w:br/>
              <w:t>Managing Director</w:t>
              <w:br/>
              <w:t>Fokus Kiara Sdn Bhd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