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F3864"/>
        </w:rPr>
        <w:t>CU3 — Search Engine Marketing:</w:t>
        <w:br/>
        <w:t>Performance Report H1 2025</w:t>
      </w:r>
    </w:p>
    <w:p>
      <w:pPr>
        <w:spacing w:after="40"/>
      </w:pPr>
      <w:r>
        <w:rPr>
          <w:b/>
          <w:sz w:val="20"/>
        </w:rPr>
        <w:t xml:space="preserve">Ref: </w:t>
      </w:r>
      <w:r>
        <w:rPr>
          <w:sz w:val="20"/>
        </w:rPr>
        <w:t>TVETLIPIS-CU3-SEM-003</w:t>
      </w:r>
    </w:p>
    <w:p>
      <w:pPr>
        <w:spacing w:after="40"/>
      </w:pPr>
      <w:r>
        <w:rPr>
          <w:b/>
          <w:sz w:val="20"/>
        </w:rPr>
        <w:t xml:space="preserve">Organisation: </w:t>
      </w:r>
      <w:r>
        <w:rPr>
          <w:sz w:val="20"/>
        </w:rPr>
        <w:t>Kolej Islam Antarabangsa Kuala Lipis (KIAK) / TVET Lipis</w:t>
      </w:r>
    </w:p>
    <w:p>
      <w:pPr>
        <w:spacing w:after="40"/>
      </w:pPr>
      <w:r>
        <w:rPr>
          <w:b/>
          <w:sz w:val="20"/>
        </w:rPr>
        <w:t xml:space="preserve">Prepared by: </w:t>
      </w:r>
      <w:r>
        <w:rPr>
          <w:sz w:val="20"/>
        </w:rPr>
        <w:t>Zuriel Seong Ming Ee</w:t>
      </w:r>
    </w:p>
    <w:p>
      <w:pPr>
        <w:spacing w:after="40"/>
      </w:pPr>
      <w:r>
        <w:rPr>
          <w:b/>
          <w:sz w:val="20"/>
        </w:rPr>
        <w:t xml:space="preserve">Report Period: </w:t>
      </w:r>
      <w:r>
        <w:rPr>
          <w:sz w:val="20"/>
        </w:rPr>
        <w:t>January – June 2025 (H1 2025)</w:t>
      </w:r>
    </w:p>
    <w:p>
      <w:pPr>
        <w:spacing w:after="40"/>
      </w:pPr>
      <w:r>
        <w:rPr>
          <w:b/>
          <w:sz w:val="20"/>
        </w:rPr>
        <w:t xml:space="preserve">Platform: </w:t>
      </w:r>
      <w:r>
        <w:rPr>
          <w:sz w:val="20"/>
        </w:rPr>
        <w:t>Google Ads</w:t>
      </w:r>
    </w:p>
    <w:p>
      <w:pPr>
        <w:spacing w:after="40"/>
      </w:pPr>
      <w:r>
        <w:rPr>
          <w:b/>
          <w:sz w:val="20"/>
        </w:rPr>
        <w:t xml:space="preserve">Work Activities Covered: </w:t>
      </w:r>
      <w:r>
        <w:rPr>
          <w:sz w:val="20"/>
        </w:rPr>
        <w:t>WA4 (Monitor &amp; Evaluate), WA5 (Optimise)</w:t>
      </w:r>
    </w:p>
    <w:p>
      <w:pPr>
        <w:pStyle w:val="Heading2"/>
        <w:jc w:val="left"/>
      </w:pPr>
      <w:r>
        <w:rPr>
          <w:color w:val="1F3864"/>
        </w:rPr>
        <w:t>1. Strategic Purpose</w:t>
      </w:r>
    </w:p>
    <w:p>
      <w:r>
        <w:t>This performance report evaluates TVET Lipis's Google Ads SEM campaigns for H1 2025, comparing actual results against planned KPIs, diagnosing underperforming campaigns, and recording all management decisions made to optimise spend and improve lead quality ahead of the main intake period (September 2025).</w:t>
      </w:r>
    </w:p>
    <w:p>
      <w:pPr>
        <w:pStyle w:val="Heading2"/>
        <w:jc w:val="left"/>
      </w:pPr>
      <w:r>
        <w:rPr>
          <w:color w:val="1F3864"/>
        </w:rPr>
        <w:t>2. Campaign CPL: Actual vs Target</w:t>
      </w:r>
    </w:p>
    <w:p>
      <w:r>
        <w:t>The core KPI for all SEM campaigns is Cost Per Lead (CPL). A lower CPL means more leads for the same budget. The target CPL was set at registration in the SEM Plan (CU3-SEM-001). Discovery campaign significantly exceeded target CPL — root cause analysis follows.</w:t>
      </w:r>
    </w:p>
    <w:p>
      <w:pPr>
        <w:jc w:val="center"/>
      </w:pPr>
      <w:r>
        <w:drawing>
          <wp:inline xmlns:a="http://schemas.openxmlformats.org/drawingml/2006/main" xmlns:pic="http://schemas.openxmlformats.org/drawingml/2006/picture">
            <wp:extent cx="5029200" cy="279069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790696"/>
                    </a:xfrm>
                    <a:prstGeom prst="rect"/>
                  </pic:spPr>
                </pic:pic>
              </a:graphicData>
            </a:graphic>
          </wp:inline>
        </w:drawing>
      </w:r>
    </w:p>
    <w:p>
      <w:pPr>
        <w:jc w:val="center"/>
      </w:pPr>
      <w:r>
        <w:rPr>
          <w:i/>
          <w:sz w:val="18"/>
        </w:rPr>
        <w:t>Figure 1: Actual vs Target CPL by Campaign (Green = met target, Red = missed)</w:t>
      </w:r>
    </w:p>
    <w:p/>
    <w:tbl>
      <w:tblPr>
        <w:tblStyle w:val="TableGrid"/>
        <w:tblW w:type="auto" w:w="0"/>
        <w:jc w:val="left"/>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1F3864"/>
          </w:tcPr>
          <w:p>
            <w:pPr>
              <w:jc w:val="center"/>
            </w:pPr>
            <w:r>
              <w:rPr>
                <w:b/>
                <w:color w:val="FFFFFF"/>
                <w:sz w:val="18"/>
              </w:rPr>
              <w:t>Campaign</w:t>
            </w:r>
          </w:p>
        </w:tc>
        <w:tc>
          <w:tcPr>
            <w:tcW w:type="dxa" w:w="1303"/>
            <w:shd w:val="clear" w:color="auto" w:fill="1F3864"/>
          </w:tcPr>
          <w:p>
            <w:pPr>
              <w:jc w:val="center"/>
            </w:pPr>
            <w:r>
              <w:rPr>
                <w:b/>
                <w:color w:val="FFFFFF"/>
                <w:sz w:val="18"/>
              </w:rPr>
              <w:t>Budget H1</w:t>
            </w:r>
          </w:p>
        </w:tc>
        <w:tc>
          <w:tcPr>
            <w:tcW w:type="dxa" w:w="1303"/>
            <w:shd w:val="clear" w:color="auto" w:fill="1F3864"/>
          </w:tcPr>
          <w:p>
            <w:pPr>
              <w:jc w:val="center"/>
            </w:pPr>
            <w:r>
              <w:rPr>
                <w:b/>
                <w:color w:val="FFFFFF"/>
                <w:sz w:val="18"/>
              </w:rPr>
              <w:t>Clicks</w:t>
            </w:r>
          </w:p>
        </w:tc>
        <w:tc>
          <w:tcPr>
            <w:tcW w:type="dxa" w:w="1303"/>
            <w:shd w:val="clear" w:color="auto" w:fill="1F3864"/>
          </w:tcPr>
          <w:p>
            <w:pPr>
              <w:jc w:val="center"/>
            </w:pPr>
            <w:r>
              <w:rPr>
                <w:b/>
                <w:color w:val="FFFFFF"/>
                <w:sz w:val="18"/>
              </w:rPr>
              <w:t>Leads</w:t>
            </w:r>
          </w:p>
        </w:tc>
        <w:tc>
          <w:tcPr>
            <w:tcW w:type="dxa" w:w="1303"/>
            <w:shd w:val="clear" w:color="auto" w:fill="1F3864"/>
          </w:tcPr>
          <w:p>
            <w:pPr>
              <w:jc w:val="center"/>
            </w:pPr>
            <w:r>
              <w:rPr>
                <w:b/>
                <w:color w:val="FFFFFF"/>
                <w:sz w:val="18"/>
              </w:rPr>
              <w:t>Actual CPL</w:t>
            </w:r>
          </w:p>
        </w:tc>
        <w:tc>
          <w:tcPr>
            <w:tcW w:type="dxa" w:w="1303"/>
            <w:shd w:val="clear" w:color="auto" w:fill="1F3864"/>
          </w:tcPr>
          <w:p>
            <w:pPr>
              <w:jc w:val="center"/>
            </w:pPr>
            <w:r>
              <w:rPr>
                <w:b/>
                <w:color w:val="FFFFFF"/>
                <w:sz w:val="18"/>
              </w:rPr>
              <w:t>Target CPL</w:t>
            </w:r>
          </w:p>
        </w:tc>
        <w:tc>
          <w:tcPr>
            <w:tcW w:type="dxa" w:w="1303"/>
            <w:shd w:val="clear" w:color="auto" w:fill="1F3864"/>
          </w:tcPr>
          <w:p>
            <w:pPr>
              <w:jc w:val="center"/>
            </w:pPr>
            <w:r>
              <w:rPr>
                <w:b/>
                <w:color w:val="FFFFFF"/>
                <w:sz w:val="18"/>
              </w:rPr>
              <w:t>Status</w:t>
            </w:r>
          </w:p>
        </w:tc>
      </w:tr>
      <w:tr>
        <w:tc>
          <w:tcPr>
            <w:tcW w:type="dxa" w:w="1303"/>
            <w:shd w:val="clear" w:color="auto" w:fill="F2F2F2"/>
          </w:tcPr>
          <w:p>
            <w:r>
              <w:rPr>
                <w:sz w:val="18"/>
              </w:rPr>
              <w:t>Brand</w:t>
            </w:r>
          </w:p>
        </w:tc>
        <w:tc>
          <w:tcPr>
            <w:tcW w:type="dxa" w:w="1303"/>
            <w:shd w:val="clear" w:color="auto" w:fill="F2F2F2"/>
          </w:tcPr>
          <w:p>
            <w:r>
              <w:rPr>
                <w:sz w:val="18"/>
              </w:rPr>
              <w:t>RM 900</w:t>
            </w:r>
          </w:p>
        </w:tc>
        <w:tc>
          <w:tcPr>
            <w:tcW w:type="dxa" w:w="1303"/>
            <w:shd w:val="clear" w:color="auto" w:fill="F2F2F2"/>
          </w:tcPr>
          <w:p>
            <w:r>
              <w:rPr>
                <w:sz w:val="18"/>
              </w:rPr>
              <w:t>1,245</w:t>
            </w:r>
          </w:p>
        </w:tc>
        <w:tc>
          <w:tcPr>
            <w:tcW w:type="dxa" w:w="1303"/>
            <w:shd w:val="clear" w:color="auto" w:fill="F2F2F2"/>
          </w:tcPr>
          <w:p>
            <w:r>
              <w:rPr>
                <w:sz w:val="18"/>
              </w:rPr>
              <w:t>66</w:t>
            </w:r>
          </w:p>
        </w:tc>
        <w:tc>
          <w:tcPr>
            <w:tcW w:type="dxa" w:w="1303"/>
            <w:shd w:val="clear" w:color="auto" w:fill="F2F2F2"/>
          </w:tcPr>
          <w:p>
            <w:r>
              <w:rPr>
                <w:sz w:val="18"/>
              </w:rPr>
              <w:t>RM 13.54</w:t>
            </w:r>
          </w:p>
        </w:tc>
        <w:tc>
          <w:tcPr>
            <w:tcW w:type="dxa" w:w="1303"/>
            <w:shd w:val="clear" w:color="auto" w:fill="F2F2F2"/>
          </w:tcPr>
          <w:p>
            <w:r>
              <w:rPr>
                <w:sz w:val="18"/>
              </w:rPr>
              <w:t>RM 20.00</w:t>
            </w:r>
          </w:p>
        </w:tc>
        <w:tc>
          <w:tcPr>
            <w:tcW w:type="dxa" w:w="1303"/>
            <w:shd w:val="clear" w:color="auto" w:fill="F2F2F2"/>
          </w:tcPr>
          <w:p>
            <w:r>
              <w:rPr>
                <w:sz w:val="18"/>
              </w:rPr>
              <w:t>✅ Exceeded</w:t>
            </w:r>
          </w:p>
        </w:tc>
      </w:tr>
      <w:tr>
        <w:tc>
          <w:tcPr>
            <w:tcW w:type="dxa" w:w="1303"/>
            <w:shd w:val="clear" w:color="auto" w:fill="FFFFFF"/>
          </w:tcPr>
          <w:p>
            <w:r>
              <w:rPr>
                <w:sz w:val="18"/>
              </w:rPr>
              <w:t>Discovery</w:t>
            </w:r>
          </w:p>
        </w:tc>
        <w:tc>
          <w:tcPr>
            <w:tcW w:type="dxa" w:w="1303"/>
            <w:shd w:val="clear" w:color="auto" w:fill="FFFFFF"/>
          </w:tcPr>
          <w:p>
            <w:r>
              <w:rPr>
                <w:sz w:val="18"/>
              </w:rPr>
              <w:t>RM 3,000</w:t>
            </w:r>
          </w:p>
        </w:tc>
        <w:tc>
          <w:tcPr>
            <w:tcW w:type="dxa" w:w="1303"/>
            <w:shd w:val="clear" w:color="auto" w:fill="FFFFFF"/>
          </w:tcPr>
          <w:p>
            <w:r>
              <w:rPr>
                <w:sz w:val="18"/>
              </w:rPr>
              <w:t>2,180</w:t>
            </w:r>
          </w:p>
        </w:tc>
        <w:tc>
          <w:tcPr>
            <w:tcW w:type="dxa" w:w="1303"/>
            <w:shd w:val="clear" w:color="auto" w:fill="FFFFFF"/>
          </w:tcPr>
          <w:p>
            <w:r>
              <w:rPr>
                <w:sz w:val="18"/>
              </w:rPr>
              <w:t>74</w:t>
            </w:r>
          </w:p>
        </w:tc>
        <w:tc>
          <w:tcPr>
            <w:tcW w:type="dxa" w:w="1303"/>
            <w:shd w:val="clear" w:color="auto" w:fill="FFFFFF"/>
          </w:tcPr>
          <w:p>
            <w:r>
              <w:rPr>
                <w:sz w:val="18"/>
              </w:rPr>
              <w:t>RM 40.63</w:t>
            </w:r>
          </w:p>
        </w:tc>
        <w:tc>
          <w:tcPr>
            <w:tcW w:type="dxa" w:w="1303"/>
            <w:shd w:val="clear" w:color="auto" w:fill="FFFFFF"/>
          </w:tcPr>
          <w:p>
            <w:r>
              <w:rPr>
                <w:sz w:val="18"/>
              </w:rPr>
              <w:t>RM 25.00</w:t>
            </w:r>
          </w:p>
        </w:tc>
        <w:tc>
          <w:tcPr>
            <w:tcW w:type="dxa" w:w="1303"/>
            <w:shd w:val="clear" w:color="auto" w:fill="FFFFFF"/>
          </w:tcPr>
          <w:p>
            <w:r>
              <w:rPr>
                <w:sz w:val="18"/>
              </w:rPr>
              <w:t>❌ Missed</w:t>
            </w:r>
          </w:p>
        </w:tc>
      </w:tr>
      <w:tr>
        <w:tc>
          <w:tcPr>
            <w:tcW w:type="dxa" w:w="1303"/>
            <w:shd w:val="clear" w:color="auto" w:fill="F2F2F2"/>
          </w:tcPr>
          <w:p>
            <w:r>
              <w:rPr>
                <w:sz w:val="18"/>
              </w:rPr>
              <w:t>Seasonal</w:t>
            </w:r>
          </w:p>
        </w:tc>
        <w:tc>
          <w:tcPr>
            <w:tcW w:type="dxa" w:w="1303"/>
            <w:shd w:val="clear" w:color="auto" w:fill="F2F2F2"/>
          </w:tcPr>
          <w:p>
            <w:r>
              <w:rPr>
                <w:sz w:val="18"/>
              </w:rPr>
              <w:t>RM 2,100</w:t>
            </w:r>
          </w:p>
        </w:tc>
        <w:tc>
          <w:tcPr>
            <w:tcW w:type="dxa" w:w="1303"/>
            <w:shd w:val="clear" w:color="auto" w:fill="F2F2F2"/>
          </w:tcPr>
          <w:p>
            <w:r>
              <w:rPr>
                <w:sz w:val="18"/>
              </w:rPr>
              <w:t>1,890</w:t>
            </w:r>
          </w:p>
        </w:tc>
        <w:tc>
          <w:tcPr>
            <w:tcW w:type="dxa" w:w="1303"/>
            <w:shd w:val="clear" w:color="auto" w:fill="F2F2F2"/>
          </w:tcPr>
          <w:p>
            <w:r>
              <w:rPr>
                <w:sz w:val="18"/>
              </w:rPr>
              <w:t>111</w:t>
            </w:r>
          </w:p>
        </w:tc>
        <w:tc>
          <w:tcPr>
            <w:tcW w:type="dxa" w:w="1303"/>
            <w:shd w:val="clear" w:color="auto" w:fill="F2F2F2"/>
          </w:tcPr>
          <w:p>
            <w:r>
              <w:rPr>
                <w:sz w:val="18"/>
              </w:rPr>
              <w:t>RM 18.92</w:t>
            </w:r>
          </w:p>
        </w:tc>
        <w:tc>
          <w:tcPr>
            <w:tcW w:type="dxa" w:w="1303"/>
            <w:shd w:val="clear" w:color="auto" w:fill="F2F2F2"/>
          </w:tcPr>
          <w:p>
            <w:r>
              <w:rPr>
                <w:sz w:val="18"/>
              </w:rPr>
              <w:t>RM 22.00</w:t>
            </w:r>
          </w:p>
        </w:tc>
        <w:tc>
          <w:tcPr>
            <w:tcW w:type="dxa" w:w="1303"/>
            <w:shd w:val="clear" w:color="auto" w:fill="F2F2F2"/>
          </w:tcPr>
          <w:p>
            <w:r>
              <w:rPr>
                <w:sz w:val="18"/>
              </w:rPr>
              <w:t>✅ Met</w:t>
            </w:r>
          </w:p>
        </w:tc>
      </w:tr>
    </w:tbl>
    <w:p/>
    <w:p>
      <w:pPr>
        <w:pStyle w:val="Heading2"/>
        <w:jc w:val="left"/>
      </w:pPr>
      <w:r>
        <w:rPr>
          <w:color w:val="1F3864"/>
        </w:rPr>
        <w:t>3. Monthly Lead Volume Trend</w:t>
      </w:r>
    </w:p>
    <w:p>
      <w:r>
        <w:t>The chart below shows monthly lead generation across all three campaigns. Notable spike in April due to Seasonal campaign overlap with SPM results release, which is a key enrolment trigger for vocational programmes.</w:t>
      </w:r>
    </w:p>
    <w:p>
      <w:pPr>
        <w:jc w:val="center"/>
      </w:pPr>
      <w:r>
        <w:drawing>
          <wp:inline xmlns:a="http://schemas.openxmlformats.org/drawingml/2006/main" xmlns:pic="http://schemas.openxmlformats.org/drawingml/2006/picture">
            <wp:extent cx="5029200" cy="248444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2484440"/>
                    </a:xfrm>
                    <a:prstGeom prst="rect"/>
                  </pic:spPr>
                </pic:pic>
              </a:graphicData>
            </a:graphic>
          </wp:inline>
        </w:drawing>
      </w:r>
    </w:p>
    <w:p>
      <w:pPr>
        <w:jc w:val="center"/>
      </w:pPr>
      <w:r>
        <w:rPr>
          <w:i/>
          <w:sz w:val="18"/>
        </w:rPr>
        <w:t>Figure 2: Monthly Lead Volume by Campaign (Stacked) — H1 2025</w:t>
      </w:r>
    </w:p>
    <w:p/>
    <w:p>
      <w:pPr>
        <w:pStyle w:val="Heading2"/>
        <w:jc w:val="left"/>
      </w:pPr>
      <w:r>
        <w:rPr>
          <w:color w:val="1F3864"/>
        </w:rPr>
        <w:t>4. Spend vs Leads Efficiency</w:t>
      </w:r>
    </w:p>
    <w:p>
      <w:pPr>
        <w:jc w:val="center"/>
      </w:pPr>
      <w:r>
        <w:drawing>
          <wp:inline xmlns:a="http://schemas.openxmlformats.org/drawingml/2006/main" xmlns:pic="http://schemas.openxmlformats.org/drawingml/2006/picture">
            <wp:extent cx="5029200" cy="220334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2203340"/>
                    </a:xfrm>
                    <a:prstGeom prst="rect"/>
                  </pic:spPr>
                </pic:pic>
              </a:graphicData>
            </a:graphic>
          </wp:inline>
        </w:drawing>
      </w:r>
    </w:p>
    <w:p>
      <w:pPr>
        <w:jc w:val="center"/>
      </w:pPr>
      <w:r>
        <w:rPr>
          <w:i/>
          <w:sz w:val="18"/>
        </w:rPr>
        <w:t>Figure 3: Monthly Spend (bars) vs Total Leads (line)</w:t>
      </w:r>
    </w:p>
    <w:p/>
    <w:p>
      <w:pPr>
        <w:pStyle w:val="Heading2"/>
        <w:jc w:val="left"/>
      </w:pPr>
      <w:r>
        <w:rPr>
          <w:color w:val="1F3864"/>
        </w:rPr>
        <w:t>5. Root Cause Analysis — Discovery Campaign Underperformance</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1F3864"/>
          </w:tcPr>
          <w:p>
            <w:pPr>
              <w:jc w:val="center"/>
            </w:pPr>
            <w:r>
              <w:rPr>
                <w:b/>
                <w:color w:val="FFFFFF"/>
                <w:sz w:val="18"/>
              </w:rPr>
              <w:t>Root Cause</w:t>
            </w:r>
          </w:p>
        </w:tc>
        <w:tc>
          <w:tcPr>
            <w:tcW w:type="dxa" w:w="2280"/>
            <w:shd w:val="clear" w:color="auto" w:fill="1F3864"/>
          </w:tcPr>
          <w:p>
            <w:pPr>
              <w:jc w:val="center"/>
            </w:pPr>
            <w:r>
              <w:rPr>
                <w:b/>
                <w:color w:val="FFFFFF"/>
                <w:sz w:val="18"/>
              </w:rPr>
              <w:t>Evidence</w:t>
            </w:r>
          </w:p>
        </w:tc>
        <w:tc>
          <w:tcPr>
            <w:tcW w:type="dxa" w:w="2280"/>
            <w:shd w:val="clear" w:color="auto" w:fill="1F3864"/>
          </w:tcPr>
          <w:p>
            <w:pPr>
              <w:jc w:val="center"/>
            </w:pPr>
            <w:r>
              <w:rPr>
                <w:b/>
                <w:color w:val="FFFFFF"/>
                <w:sz w:val="18"/>
              </w:rPr>
              <w:t>Fix Implemented</w:t>
            </w:r>
          </w:p>
        </w:tc>
        <w:tc>
          <w:tcPr>
            <w:tcW w:type="dxa" w:w="2280"/>
            <w:shd w:val="clear" w:color="auto" w:fill="1F3864"/>
          </w:tcPr>
          <w:p>
            <w:pPr>
              <w:jc w:val="center"/>
            </w:pPr>
            <w:r>
              <w:rPr>
                <w:b/>
                <w:color w:val="FFFFFF"/>
                <w:sz w:val="18"/>
              </w:rPr>
              <w:t>Expected Impact</w:t>
            </w:r>
          </w:p>
        </w:tc>
      </w:tr>
      <w:tr>
        <w:tc>
          <w:tcPr>
            <w:tcW w:type="dxa" w:w="2280"/>
            <w:shd w:val="clear" w:color="auto" w:fill="F2F2F2"/>
          </w:tcPr>
          <w:p>
            <w:r>
              <w:rPr>
                <w:sz w:val="18"/>
              </w:rPr>
              <w:t>Generic audience too broad</w:t>
            </w:r>
          </w:p>
        </w:tc>
        <w:tc>
          <w:tcPr>
            <w:tcW w:type="dxa" w:w="2280"/>
            <w:shd w:val="clear" w:color="auto" w:fill="F2F2F2"/>
          </w:tcPr>
          <w:p>
            <w:r>
              <w:rPr>
                <w:sz w:val="18"/>
              </w:rPr>
              <w:t>High impressions (280K), low CTR (0.78%)</w:t>
            </w:r>
          </w:p>
        </w:tc>
        <w:tc>
          <w:tcPr>
            <w:tcW w:type="dxa" w:w="2280"/>
            <w:shd w:val="clear" w:color="auto" w:fill="F2F2F2"/>
          </w:tcPr>
          <w:p>
            <w:r>
              <w:rPr>
                <w:sz w:val="18"/>
              </w:rPr>
              <w:t>Added location radius: 50km from Kuala Lipis</w:t>
            </w:r>
          </w:p>
        </w:tc>
        <w:tc>
          <w:tcPr>
            <w:tcW w:type="dxa" w:w="2280"/>
            <w:shd w:val="clear" w:color="auto" w:fill="F2F2F2"/>
          </w:tcPr>
          <w:p>
            <w:r>
              <w:rPr>
                <w:sz w:val="18"/>
              </w:rPr>
              <w:t>CPL target RM 28 in H2</w:t>
            </w:r>
          </w:p>
        </w:tc>
      </w:tr>
      <w:tr>
        <w:tc>
          <w:tcPr>
            <w:tcW w:type="dxa" w:w="2280"/>
            <w:shd w:val="clear" w:color="auto" w:fill="FFFFFF"/>
          </w:tcPr>
          <w:p>
            <w:r>
              <w:rPr>
                <w:sz w:val="18"/>
              </w:rPr>
              <w:t>Ad copy lacks urgency</w:t>
            </w:r>
          </w:p>
        </w:tc>
        <w:tc>
          <w:tcPr>
            <w:tcW w:type="dxa" w:w="2280"/>
            <w:shd w:val="clear" w:color="auto" w:fill="FFFFFF"/>
          </w:tcPr>
          <w:p>
            <w:r>
              <w:rPr>
                <w:sz w:val="18"/>
              </w:rPr>
              <w:t>Low CTR vs Brand campaign (0.78% vs 3.1%)</w:t>
            </w:r>
          </w:p>
        </w:tc>
        <w:tc>
          <w:tcPr>
            <w:tcW w:type="dxa" w:w="2280"/>
            <w:shd w:val="clear" w:color="auto" w:fill="FFFFFF"/>
          </w:tcPr>
          <w:p>
            <w:r>
              <w:rPr>
                <w:sz w:val="18"/>
              </w:rPr>
              <w:t>Added "Daftar Sekarang — Tempat Terhad" CTA</w:t>
            </w:r>
          </w:p>
        </w:tc>
        <w:tc>
          <w:tcPr>
            <w:tcW w:type="dxa" w:w="2280"/>
            <w:shd w:val="clear" w:color="auto" w:fill="FFFFFF"/>
          </w:tcPr>
          <w:p>
            <w:r>
              <w:rPr>
                <w:sz w:val="18"/>
              </w:rPr>
              <w:t>CTR uplift +40%</w:t>
            </w:r>
          </w:p>
        </w:tc>
      </w:tr>
      <w:tr>
        <w:tc>
          <w:tcPr>
            <w:tcW w:type="dxa" w:w="2280"/>
            <w:shd w:val="clear" w:color="auto" w:fill="F2F2F2"/>
          </w:tcPr>
          <w:p>
            <w:r>
              <w:rPr>
                <w:sz w:val="18"/>
              </w:rPr>
              <w:t>Landing page mismatch</w:t>
            </w:r>
          </w:p>
        </w:tc>
        <w:tc>
          <w:tcPr>
            <w:tcW w:type="dxa" w:w="2280"/>
            <w:shd w:val="clear" w:color="auto" w:fill="F2F2F2"/>
          </w:tcPr>
          <w:p>
            <w:r>
              <w:rPr>
                <w:sz w:val="18"/>
              </w:rPr>
              <w:t>Bounce rate 74%</w:t>
            </w:r>
          </w:p>
        </w:tc>
        <w:tc>
          <w:tcPr>
            <w:tcW w:type="dxa" w:w="2280"/>
            <w:shd w:val="clear" w:color="auto" w:fill="F2F2F2"/>
          </w:tcPr>
          <w:p>
            <w:r>
              <w:rPr>
                <w:sz w:val="18"/>
              </w:rPr>
              <w:t>Dedicated landing page per course</w:t>
            </w:r>
          </w:p>
        </w:tc>
        <w:tc>
          <w:tcPr>
            <w:tcW w:type="dxa" w:w="2280"/>
            <w:shd w:val="clear" w:color="auto" w:fill="F2F2F2"/>
          </w:tcPr>
          <w:p>
            <w:r>
              <w:rPr>
                <w:sz w:val="18"/>
              </w:rPr>
              <w:t>Bounce rate target &lt;55%</w:t>
            </w:r>
          </w:p>
        </w:tc>
      </w:tr>
      <w:tr>
        <w:tc>
          <w:tcPr>
            <w:tcW w:type="dxa" w:w="2280"/>
            <w:shd w:val="clear" w:color="auto" w:fill="FFFFFF"/>
          </w:tcPr>
          <w:p>
            <w:r>
              <w:rPr>
                <w:sz w:val="18"/>
              </w:rPr>
              <w:t>Bid strategy too conservative</w:t>
            </w:r>
          </w:p>
        </w:tc>
        <w:tc>
          <w:tcPr>
            <w:tcW w:type="dxa" w:w="2280"/>
            <w:shd w:val="clear" w:color="auto" w:fill="FFFFFF"/>
          </w:tcPr>
          <w:p>
            <w:r>
              <w:rPr>
                <w:sz w:val="18"/>
              </w:rPr>
              <w:t>Low impression share (42%)</w:t>
            </w:r>
          </w:p>
        </w:tc>
        <w:tc>
          <w:tcPr>
            <w:tcW w:type="dxa" w:w="2280"/>
            <w:shd w:val="clear" w:color="auto" w:fill="FFFFFF"/>
          </w:tcPr>
          <w:p>
            <w:r>
              <w:rPr>
                <w:sz w:val="18"/>
              </w:rPr>
              <w:t>Switched to Target CPA bidding at RM 28</w:t>
            </w:r>
          </w:p>
        </w:tc>
        <w:tc>
          <w:tcPr>
            <w:tcW w:type="dxa" w:w="2280"/>
            <w:shd w:val="clear" w:color="auto" w:fill="FFFFFF"/>
          </w:tcPr>
          <w:p>
            <w:r>
              <w:rPr>
                <w:sz w:val="18"/>
              </w:rPr>
              <w:t>IS target 60%+</w:t>
            </w:r>
          </w:p>
        </w:tc>
      </w:tr>
    </w:tbl>
    <w:p/>
    <w:p>
      <w:pPr>
        <w:pStyle w:val="Heading2"/>
        <w:jc w:val="left"/>
      </w:pPr>
      <w:r>
        <w:rPr>
          <w:color w:val="1F3864"/>
        </w:rPr>
        <w:t>6. H2 2025 Revised Targets</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824"/>
            <w:shd w:val="clear" w:color="auto" w:fill="1F3864"/>
          </w:tcPr>
          <w:p>
            <w:pPr>
              <w:jc w:val="center"/>
            </w:pPr>
            <w:r>
              <w:rPr>
                <w:b/>
                <w:color w:val="FFFFFF"/>
                <w:sz w:val="18"/>
              </w:rPr>
              <w:t>Campaign</w:t>
            </w:r>
          </w:p>
        </w:tc>
        <w:tc>
          <w:tcPr>
            <w:tcW w:type="dxa" w:w="1824"/>
            <w:shd w:val="clear" w:color="auto" w:fill="1F3864"/>
          </w:tcPr>
          <w:p>
            <w:pPr>
              <w:jc w:val="center"/>
            </w:pPr>
            <w:r>
              <w:rPr>
                <w:b/>
                <w:color w:val="FFFFFF"/>
                <w:sz w:val="18"/>
              </w:rPr>
              <w:t>H1 Actual CPL</w:t>
            </w:r>
          </w:p>
        </w:tc>
        <w:tc>
          <w:tcPr>
            <w:tcW w:type="dxa" w:w="1824"/>
            <w:shd w:val="clear" w:color="auto" w:fill="1F3864"/>
          </w:tcPr>
          <w:p>
            <w:pPr>
              <w:jc w:val="center"/>
            </w:pPr>
            <w:r>
              <w:rPr>
                <w:b/>
                <w:color w:val="FFFFFF"/>
                <w:sz w:val="18"/>
              </w:rPr>
              <w:t>H2 Target CPL</w:t>
            </w:r>
          </w:p>
        </w:tc>
        <w:tc>
          <w:tcPr>
            <w:tcW w:type="dxa" w:w="1824"/>
            <w:shd w:val="clear" w:color="auto" w:fill="1F3864"/>
          </w:tcPr>
          <w:p>
            <w:pPr>
              <w:jc w:val="center"/>
            </w:pPr>
            <w:r>
              <w:rPr>
                <w:b/>
                <w:color w:val="FFFFFF"/>
                <w:sz w:val="18"/>
              </w:rPr>
              <w:t>Budget Change</w:t>
            </w:r>
          </w:p>
        </w:tc>
        <w:tc>
          <w:tcPr>
            <w:tcW w:type="dxa" w:w="1824"/>
            <w:shd w:val="clear" w:color="auto" w:fill="1F3864"/>
          </w:tcPr>
          <w:p>
            <w:pPr>
              <w:jc w:val="center"/>
            </w:pPr>
            <w:r>
              <w:rPr>
                <w:b/>
                <w:color w:val="FFFFFF"/>
                <w:sz w:val="18"/>
              </w:rPr>
              <w:t>Key Action</w:t>
            </w:r>
          </w:p>
        </w:tc>
      </w:tr>
      <w:tr>
        <w:tc>
          <w:tcPr>
            <w:tcW w:type="dxa" w:w="1824"/>
            <w:shd w:val="clear" w:color="auto" w:fill="F2F2F2"/>
          </w:tcPr>
          <w:p>
            <w:r>
              <w:rPr>
                <w:sz w:val="18"/>
              </w:rPr>
              <w:t>Brand</w:t>
            </w:r>
          </w:p>
        </w:tc>
        <w:tc>
          <w:tcPr>
            <w:tcW w:type="dxa" w:w="1824"/>
            <w:shd w:val="clear" w:color="auto" w:fill="F2F2F2"/>
          </w:tcPr>
          <w:p>
            <w:r>
              <w:rPr>
                <w:sz w:val="18"/>
              </w:rPr>
              <w:t>RM 13.54</w:t>
            </w:r>
          </w:p>
        </w:tc>
        <w:tc>
          <w:tcPr>
            <w:tcW w:type="dxa" w:w="1824"/>
            <w:shd w:val="clear" w:color="auto" w:fill="F2F2F2"/>
          </w:tcPr>
          <w:p>
            <w:r>
              <w:rPr>
                <w:sz w:val="18"/>
              </w:rPr>
              <w:t>RM 12.00</w:t>
            </w:r>
          </w:p>
        </w:tc>
        <w:tc>
          <w:tcPr>
            <w:tcW w:type="dxa" w:w="1824"/>
            <w:shd w:val="clear" w:color="auto" w:fill="F2F2F2"/>
          </w:tcPr>
          <w:p>
            <w:r>
              <w:rPr>
                <w:sz w:val="18"/>
              </w:rPr>
              <w:t>+RM 150/month</w:t>
            </w:r>
          </w:p>
        </w:tc>
        <w:tc>
          <w:tcPr>
            <w:tcW w:type="dxa" w:w="1824"/>
            <w:shd w:val="clear" w:color="auto" w:fill="F2F2F2"/>
          </w:tcPr>
          <w:p>
            <w:r>
              <w:rPr>
                <w:sz w:val="18"/>
              </w:rPr>
              <w:t>Expand branded keywords; add competitor terms</w:t>
            </w:r>
          </w:p>
        </w:tc>
      </w:tr>
      <w:tr>
        <w:tc>
          <w:tcPr>
            <w:tcW w:type="dxa" w:w="1824"/>
            <w:shd w:val="clear" w:color="auto" w:fill="FFFFFF"/>
          </w:tcPr>
          <w:p>
            <w:r>
              <w:rPr>
                <w:sz w:val="18"/>
              </w:rPr>
              <w:t>Discovery</w:t>
            </w:r>
          </w:p>
        </w:tc>
        <w:tc>
          <w:tcPr>
            <w:tcW w:type="dxa" w:w="1824"/>
            <w:shd w:val="clear" w:color="auto" w:fill="FFFFFF"/>
          </w:tcPr>
          <w:p>
            <w:r>
              <w:rPr>
                <w:sz w:val="18"/>
              </w:rPr>
              <w:t>RM 40.63</w:t>
            </w:r>
          </w:p>
        </w:tc>
        <w:tc>
          <w:tcPr>
            <w:tcW w:type="dxa" w:w="1824"/>
            <w:shd w:val="clear" w:color="auto" w:fill="FFFFFF"/>
          </w:tcPr>
          <w:p>
            <w:r>
              <w:rPr>
                <w:sz w:val="18"/>
              </w:rPr>
              <w:t>RM 28.00</w:t>
            </w:r>
          </w:p>
        </w:tc>
        <w:tc>
          <w:tcPr>
            <w:tcW w:type="dxa" w:w="1824"/>
            <w:shd w:val="clear" w:color="auto" w:fill="FFFFFF"/>
          </w:tcPr>
          <w:p>
            <w:r>
              <w:rPr>
                <w:sz w:val="18"/>
              </w:rPr>
              <w:t>Maintained</w:t>
            </w:r>
          </w:p>
        </w:tc>
        <w:tc>
          <w:tcPr>
            <w:tcW w:type="dxa" w:w="1824"/>
            <w:shd w:val="clear" w:color="auto" w:fill="FFFFFF"/>
          </w:tcPr>
          <w:p>
            <w:r>
              <w:rPr>
                <w:sz w:val="18"/>
              </w:rPr>
              <w:t>Location targeting + CTA fix + dedicated LP</w:t>
            </w:r>
          </w:p>
        </w:tc>
      </w:tr>
      <w:tr>
        <w:tc>
          <w:tcPr>
            <w:tcW w:type="dxa" w:w="1824"/>
            <w:shd w:val="clear" w:color="auto" w:fill="F2F2F2"/>
          </w:tcPr>
          <w:p>
            <w:r>
              <w:rPr>
                <w:sz w:val="18"/>
              </w:rPr>
              <w:t>Seasonal</w:t>
            </w:r>
          </w:p>
        </w:tc>
        <w:tc>
          <w:tcPr>
            <w:tcW w:type="dxa" w:w="1824"/>
            <w:shd w:val="clear" w:color="auto" w:fill="F2F2F2"/>
          </w:tcPr>
          <w:p>
            <w:r>
              <w:rPr>
                <w:sz w:val="18"/>
              </w:rPr>
              <w:t>RM 18.92</w:t>
            </w:r>
          </w:p>
        </w:tc>
        <w:tc>
          <w:tcPr>
            <w:tcW w:type="dxa" w:w="1824"/>
            <w:shd w:val="clear" w:color="auto" w:fill="F2F2F2"/>
          </w:tcPr>
          <w:p>
            <w:r>
              <w:rPr>
                <w:sz w:val="18"/>
              </w:rPr>
              <w:t>RM 16.00</w:t>
            </w:r>
          </w:p>
        </w:tc>
        <w:tc>
          <w:tcPr>
            <w:tcW w:type="dxa" w:w="1824"/>
            <w:shd w:val="clear" w:color="auto" w:fill="F2F2F2"/>
          </w:tcPr>
          <w:p>
            <w:r>
              <w:rPr>
                <w:sz w:val="18"/>
              </w:rPr>
              <w:t>+RM 200 for Sept intake</w:t>
            </w:r>
          </w:p>
        </w:tc>
        <w:tc>
          <w:tcPr>
            <w:tcW w:type="dxa" w:w="1824"/>
            <w:shd w:val="clear" w:color="auto" w:fill="F2F2F2"/>
          </w:tcPr>
          <w:p>
            <w:r>
              <w:rPr>
                <w:sz w:val="18"/>
              </w:rPr>
              <w:t>Early-bird SPM results targeting</w:t>
            </w:r>
          </w:p>
        </w:tc>
      </w:tr>
      <w:tr>
        <w:tc>
          <w:tcPr>
            <w:tcW w:type="dxa" w:w="1824"/>
            <w:shd w:val="clear" w:color="auto" w:fill="FFFFFF"/>
          </w:tcPr>
          <w:p>
            <w:r>
              <w:rPr>
                <w:sz w:val="18"/>
              </w:rPr>
              <w:t>New: Remarketing</w:t>
            </w:r>
          </w:p>
        </w:tc>
        <w:tc>
          <w:tcPr>
            <w:tcW w:type="dxa" w:w="1824"/>
            <w:shd w:val="clear" w:color="auto" w:fill="FFFFFF"/>
          </w:tcPr>
          <w:p>
            <w:r>
              <w:rPr>
                <w:sz w:val="18"/>
              </w:rPr>
              <w:t>N/A</w:t>
            </w:r>
          </w:p>
        </w:tc>
        <w:tc>
          <w:tcPr>
            <w:tcW w:type="dxa" w:w="1824"/>
            <w:shd w:val="clear" w:color="auto" w:fill="FFFFFF"/>
          </w:tcPr>
          <w:p>
            <w:r>
              <w:rPr>
                <w:sz w:val="18"/>
              </w:rPr>
              <w:t>RM 8.00</w:t>
            </w:r>
          </w:p>
        </w:tc>
        <w:tc>
          <w:tcPr>
            <w:tcW w:type="dxa" w:w="1824"/>
            <w:shd w:val="clear" w:color="auto" w:fill="FFFFFF"/>
          </w:tcPr>
          <w:p>
            <w:r>
              <w:rPr>
                <w:sz w:val="18"/>
              </w:rPr>
              <w:t>RM 200/month</w:t>
            </w:r>
          </w:p>
        </w:tc>
        <w:tc>
          <w:tcPr>
            <w:tcW w:type="dxa" w:w="1824"/>
            <w:shd w:val="clear" w:color="auto" w:fill="FFFFFF"/>
          </w:tcPr>
          <w:p>
            <w:r>
              <w:rPr>
                <w:sz w:val="18"/>
              </w:rPr>
              <w:t>RLSA for previous site visitors</w:t>
            </w:r>
          </w:p>
        </w:tc>
      </w:tr>
    </w:tbl>
    <w:p/>
    <w:p/>
    <w:p>
      <w:pPr>
        <w:pStyle w:val="Heading2"/>
        <w:jc w:val="left"/>
      </w:pPr>
      <w:r>
        <w:rPr>
          <w:color w:val="C0392B"/>
        </w:rPr>
        <w:t>Approval Section</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C0392B"/>
          </w:tcPr>
          <w:p>
            <w:pPr>
              <w:jc w:val="center"/>
            </w:pPr>
            <w:r>
              <w:rPr>
                <w:b/>
                <w:color w:val="FFFFFF"/>
                <w:sz w:val="18"/>
              </w:rPr>
              <w:t>Role</w:t>
            </w:r>
          </w:p>
        </w:tc>
        <w:tc>
          <w:tcPr>
            <w:tcW w:type="dxa" w:w="2280"/>
            <w:shd w:val="clear" w:color="auto" w:fill="C0392B"/>
          </w:tcPr>
          <w:p>
            <w:pPr>
              <w:jc w:val="center"/>
            </w:pPr>
            <w:r>
              <w:rPr>
                <w:b/>
                <w:color w:val="FFFFFF"/>
                <w:sz w:val="18"/>
              </w:rPr>
              <w:t>Name</w:t>
            </w:r>
          </w:p>
        </w:tc>
        <w:tc>
          <w:tcPr>
            <w:tcW w:type="dxa" w:w="2280"/>
            <w:shd w:val="clear" w:color="auto" w:fill="C0392B"/>
          </w:tcPr>
          <w:p>
            <w:pPr>
              <w:jc w:val="center"/>
            </w:pPr>
            <w:r>
              <w:rPr>
                <w:b/>
                <w:color w:val="FFFFFF"/>
                <w:sz w:val="18"/>
              </w:rPr>
              <w:t>Signature</w:t>
            </w:r>
          </w:p>
        </w:tc>
        <w:tc>
          <w:tcPr>
            <w:tcW w:type="dxa" w:w="2280"/>
            <w:shd w:val="clear" w:color="auto" w:fill="C0392B"/>
          </w:tcPr>
          <w:p>
            <w:pPr>
              <w:jc w:val="center"/>
            </w:pPr>
            <w:r>
              <w:rPr>
                <w:b/>
                <w:color w:val="FFFFFF"/>
                <w:sz w:val="18"/>
              </w:rPr>
              <w:t>Date</w:t>
            </w:r>
          </w:p>
        </w:tc>
      </w:tr>
      <w:tr>
        <w:tc>
          <w:tcPr>
            <w:tcW w:type="dxa" w:w="2280"/>
            <w:shd w:val="clear" w:color="auto" w:fill="F2F2F2"/>
          </w:tcPr>
          <w:p>
            <w:r>
              <w:rPr>
                <w:sz w:val="18"/>
              </w:rPr>
              <w:t>Prepared by</w:t>
            </w:r>
          </w:p>
        </w:tc>
        <w:tc>
          <w:tcPr>
            <w:tcW w:type="dxa" w:w="2280"/>
            <w:shd w:val="clear" w:color="auto" w:fill="F2F2F2"/>
          </w:tcPr>
          <w:p>
            <w:r>
              <w:rPr>
                <w:sz w:val="18"/>
              </w:rPr>
              <w:t>Zuriel Seong Ming Ee</w:t>
            </w:r>
          </w:p>
        </w:tc>
        <w:tc>
          <w:tcPr>
            <w:tcW w:type="dxa" w:w="2280"/>
            <w:shd w:val="clear" w:color="auto" w:fill="F2F2F2"/>
          </w:tcPr>
          <w:p>
            <w:r>
              <w:rPr>
                <w:sz w:val="18"/>
              </w:rPr>
              <w:t>___________________</w:t>
            </w:r>
          </w:p>
        </w:tc>
        <w:tc>
          <w:tcPr>
            <w:tcW w:type="dxa" w:w="2280"/>
            <w:shd w:val="clear" w:color="auto" w:fill="F2F2F2"/>
          </w:tcPr>
          <w:p>
            <w:r>
              <w:rPr>
                <w:sz w:val="18"/>
              </w:rPr>
              <w:t>___________</w:t>
            </w:r>
          </w:p>
        </w:tc>
      </w:tr>
      <w:tr>
        <w:tc>
          <w:tcPr>
            <w:tcW w:type="dxa" w:w="2280"/>
            <w:shd w:val="clear" w:color="auto" w:fill="FFFFFF"/>
          </w:tcPr>
          <w:p>
            <w:r>
              <w:rPr>
                <w:sz w:val="18"/>
              </w:rPr>
              <w:t>Reviewed by</w:t>
            </w:r>
          </w:p>
        </w:tc>
        <w:tc>
          <w:tcPr>
            <w:tcW w:type="dxa" w:w="2280"/>
            <w:shd w:val="clear" w:color="auto" w:fill="FFFFFF"/>
          </w:tcPr>
          <w:p>
            <w:r>
              <w:rPr>
                <w:sz w:val="18"/>
              </w:rPr>
              <w:t>[PPT Supervisor / Assessor — Pending]</w:t>
            </w:r>
          </w:p>
        </w:tc>
        <w:tc>
          <w:tcPr>
            <w:tcW w:type="dxa" w:w="2280"/>
            <w:shd w:val="clear" w:color="auto" w:fill="FFFFFF"/>
          </w:tcPr>
          <w:p>
            <w:r>
              <w:rPr>
                <w:sz w:val="18"/>
              </w:rPr>
              <w:t>___________________</w:t>
            </w:r>
          </w:p>
        </w:tc>
        <w:tc>
          <w:tcPr>
            <w:tcW w:type="dxa" w:w="2280"/>
            <w:shd w:val="clear" w:color="auto" w:fill="FFFFFF"/>
          </w:tcPr>
          <w:p>
            <w:r>
              <w:rPr>
                <w:sz w:val="18"/>
              </w:rPr>
              <w:t>___________</w:t>
            </w:r>
          </w:p>
        </w:tc>
      </w:tr>
      <w:tr>
        <w:tc>
          <w:tcPr>
            <w:tcW w:type="dxa" w:w="2280"/>
            <w:shd w:val="clear" w:color="auto" w:fill="F2F2F2"/>
          </w:tcPr>
          <w:p>
            <w:r>
              <w:rPr>
                <w:sz w:val="18"/>
              </w:rPr>
              <w:t>Approved by</w:t>
            </w:r>
          </w:p>
        </w:tc>
        <w:tc>
          <w:tcPr>
            <w:tcW w:type="dxa" w:w="2280"/>
            <w:shd w:val="clear" w:color="auto" w:fill="F2F2F2"/>
          </w:tcPr>
          <w:p>
            <w:r>
              <w:rPr>
                <w:sz w:val="18"/>
              </w:rPr>
              <w:t>Lee Bee Chuan</w:t>
              <w:br/>
              <w:t>Managing Director</w:t>
              <w:br/>
              <w:t>Fokus Kiara Sdn Bhd</w:t>
            </w:r>
          </w:p>
        </w:tc>
        <w:tc>
          <w:tcPr>
            <w:tcW w:type="dxa" w:w="2280"/>
            <w:shd w:val="clear" w:color="auto" w:fill="F2F2F2"/>
          </w:tcPr>
          <w:p>
            <w:r>
              <w:rPr>
                <w:sz w:val="18"/>
              </w:rPr>
              <w:t>___________________</w:t>
            </w:r>
          </w:p>
        </w:tc>
        <w:tc>
          <w:tcPr>
            <w:tcW w:type="dxa" w:w="2280"/>
            <w:shd w:val="clear" w:color="auto" w:fill="F2F2F2"/>
          </w:tcPr>
          <w:p>
            <w:r>
              <w:rPr>
                <w:sz w:val="18"/>
              </w:rPr>
              <w:t>___________</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