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F3864"/>
        </w:rPr>
        <w:t>CU4 — E-Commerce Marketing:</w:t>
        <w:br/>
        <w:t>Strategy &amp; Market Analysis</w:t>
      </w:r>
    </w:p>
    <w:p>
      <w:pPr>
        <w:spacing w:after="40"/>
      </w:pPr>
      <w:r>
        <w:rPr>
          <w:b/>
          <w:sz w:val="20"/>
        </w:rPr>
        <w:t xml:space="preserve">Ref: </w:t>
      </w:r>
      <w:r>
        <w:rPr>
          <w:sz w:val="20"/>
        </w:rPr>
        <w:t>SBCO-CU4-ECOM-001-v2</w:t>
      </w:r>
    </w:p>
    <w:p>
      <w:pPr>
        <w:spacing w:after="40"/>
      </w:pPr>
      <w:r>
        <w:rPr>
          <w:b/>
          <w:sz w:val="20"/>
        </w:rPr>
        <w:t xml:space="preserve">Organisation: </w:t>
      </w:r>
      <w:r>
        <w:rPr>
          <w:sz w:val="20"/>
        </w:rPr>
        <w:t>Superbowl Lipis (SBL Co), Kuala Lipis, Pahang</w:t>
      </w:r>
    </w:p>
    <w:p>
      <w:pPr>
        <w:spacing w:after="40"/>
      </w:pPr>
      <w:r>
        <w:rPr>
          <w:b/>
          <w:sz w:val="20"/>
        </w:rPr>
        <w:t xml:space="preserve">Prepared by: </w:t>
      </w:r>
      <w:r>
        <w:rPr>
          <w:sz w:val="20"/>
        </w:rPr>
        <w:t>Zuriel Seong Ming Ee</w:t>
      </w:r>
    </w:p>
    <w:p>
      <w:pPr>
        <w:spacing w:after="40"/>
      </w:pPr>
      <w:r>
        <w:rPr>
          <w:b/>
          <w:sz w:val="20"/>
        </w:rPr>
        <w:t xml:space="preserve">Date: </w:t>
      </w:r>
      <w:r>
        <w:rPr>
          <w:sz w:val="20"/>
        </w:rPr>
        <w:t>January 2025</w:t>
      </w:r>
    </w:p>
    <w:p>
      <w:pPr>
        <w:spacing w:after="40"/>
      </w:pPr>
      <w:r>
        <w:rPr>
          <w:b/>
          <w:sz w:val="20"/>
        </w:rPr>
        <w:t xml:space="preserve">Work Activities Covered: </w:t>
      </w:r>
      <w:r>
        <w:rPr>
          <w:sz w:val="20"/>
        </w:rPr>
        <w:t>WA1 (Market Analysis), WA2 (E-Commerce Plan Development)</w:t>
      </w:r>
    </w:p>
    <w:p/>
    <w:p>
      <w:pPr>
        <w:pStyle w:val="Heading2"/>
        <w:jc w:val="left"/>
      </w:pPr>
      <w:r>
        <w:rPr>
          <w:color w:val="1F3864"/>
        </w:rPr>
        <w:t>1. Strategic Purpose</w:t>
      </w:r>
    </w:p>
    <w:p>
      <w:pPr/>
      <w:r>
        <w:t>This document records the strategic planning process behind Superbowl Lipis's entry into direct-to-consumer (D2C) e-commerce. Prior to 2025, all merchandise sales were conducted through physical walk-ins and informal WhatsApp orders — no centralised online sales channel, no inventory tracking, and no ability to run paid traffic campaigns against a conversion destination.</w:t>
        <w:br/>
        <w:br/>
        <w:t>The e-commerce initiative was commissioned by management in Q4 2024 to:</w:t>
        <w:br/>
        <w:t>• Create a scalable sales channel independent of physical location</w:t>
        <w:br/>
        <w:t>• Enable Meta Ads and TikTok Ads campaigns with a trackable landing destination</w:t>
        <w:br/>
        <w:t>• Build customer data infrastructure (email capture, order history)</w:t>
        <w:br/>
        <w:t>• Establish the brand's digital retail presence ahead of planned expansion</w:t>
      </w:r>
    </w:p>
    <w:p>
      <w:pPr>
        <w:pStyle w:val="Heading2"/>
        <w:jc w:val="left"/>
      </w:pPr>
      <w:r>
        <w:rPr>
          <w:color w:val="1F3864"/>
        </w:rPr>
        <w:t>WA1 — E-Commerce Market and Competition Analysis</w:t>
      </w:r>
    </w:p>
    <w:p>
      <w:pPr>
        <w:pStyle w:val="Heading3"/>
        <w:jc w:val="left"/>
      </w:pPr>
      <w:r>
        <w:rPr>
          <w:color w:val="2E74B5"/>
        </w:rPr>
        <w:t>1.1 Malaysian E-Commerce Market Context</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18"/>
              </w:rPr>
              <w:t>Indicator</w:t>
            </w:r>
          </w:p>
        </w:tc>
        <w:tc>
          <w:tcPr>
            <w:tcW w:type="dxa" w:w="3041"/>
            <w:shd w:val="clear" w:color="auto" w:fill="1F3864"/>
          </w:tcPr>
          <w:p>
            <w:pPr>
              <w:jc w:val="center"/>
            </w:pPr>
            <w:r>
              <w:rPr>
                <w:b/>
                <w:color w:val="FFFFFF"/>
                <w:sz w:val="18"/>
              </w:rPr>
              <w:t>Data</w:t>
            </w:r>
          </w:p>
        </w:tc>
        <w:tc>
          <w:tcPr>
            <w:tcW w:type="dxa" w:w="3041"/>
            <w:shd w:val="clear" w:color="auto" w:fill="1F3864"/>
          </w:tcPr>
          <w:p>
            <w:pPr>
              <w:jc w:val="center"/>
            </w:pPr>
            <w:r>
              <w:rPr>
                <w:b/>
                <w:color w:val="FFFFFF"/>
                <w:sz w:val="18"/>
              </w:rPr>
              <w:t>Source</w:t>
            </w:r>
          </w:p>
        </w:tc>
      </w:tr>
      <w:tr>
        <w:tc>
          <w:tcPr>
            <w:tcW w:type="dxa" w:w="3041"/>
            <w:shd w:val="clear" w:color="auto" w:fill="F2F2F2"/>
          </w:tcPr>
          <w:p>
            <w:r>
              <w:rPr>
                <w:sz w:val="18"/>
              </w:rPr>
              <w:t>Malaysia e-commerce market size</w:t>
            </w:r>
          </w:p>
        </w:tc>
        <w:tc>
          <w:tcPr>
            <w:tcW w:type="dxa" w:w="3041"/>
            <w:shd w:val="clear" w:color="auto" w:fill="F2F2F2"/>
          </w:tcPr>
          <w:p>
            <w:r>
              <w:rPr>
                <w:sz w:val="18"/>
              </w:rPr>
              <w:t>USD 10.1 billion</w:t>
            </w:r>
          </w:p>
        </w:tc>
        <w:tc>
          <w:tcPr>
            <w:tcW w:type="dxa" w:w="3041"/>
            <w:shd w:val="clear" w:color="auto" w:fill="F2F2F2"/>
          </w:tcPr>
          <w:p>
            <w:r>
              <w:rPr>
                <w:sz w:val="18"/>
              </w:rPr>
              <w:t>Statista 2024</w:t>
            </w:r>
          </w:p>
        </w:tc>
      </w:tr>
      <w:tr>
        <w:tc>
          <w:tcPr>
            <w:tcW w:type="dxa" w:w="3041"/>
            <w:shd w:val="clear" w:color="auto" w:fill="FFFFFF"/>
          </w:tcPr>
          <w:p>
            <w:r>
              <w:rPr>
                <w:sz w:val="18"/>
              </w:rPr>
              <w:t>YoY growth rate</w:t>
            </w:r>
          </w:p>
        </w:tc>
        <w:tc>
          <w:tcPr>
            <w:tcW w:type="dxa" w:w="3041"/>
            <w:shd w:val="clear" w:color="auto" w:fill="FFFFFF"/>
          </w:tcPr>
          <w:p>
            <w:r>
              <w:rPr>
                <w:sz w:val="18"/>
              </w:rPr>
              <w:t>14.2%</w:t>
            </w:r>
          </w:p>
        </w:tc>
        <w:tc>
          <w:tcPr>
            <w:tcW w:type="dxa" w:w="3041"/>
            <w:shd w:val="clear" w:color="auto" w:fill="FFFFFF"/>
          </w:tcPr>
          <w:p>
            <w:r>
              <w:rPr>
                <w:sz w:val="18"/>
              </w:rPr>
              <w:t>MDEC Report</w:t>
            </w:r>
          </w:p>
        </w:tc>
      </w:tr>
      <w:tr>
        <w:tc>
          <w:tcPr>
            <w:tcW w:type="dxa" w:w="3041"/>
            <w:shd w:val="clear" w:color="auto" w:fill="F2F2F2"/>
          </w:tcPr>
          <w:p>
            <w:r>
              <w:rPr>
                <w:sz w:val="18"/>
              </w:rPr>
              <w:t>Mobile commerce share</w:t>
            </w:r>
          </w:p>
        </w:tc>
        <w:tc>
          <w:tcPr>
            <w:tcW w:type="dxa" w:w="3041"/>
            <w:shd w:val="clear" w:color="auto" w:fill="F2F2F2"/>
          </w:tcPr>
          <w:p>
            <w:r>
              <w:rPr>
                <w:sz w:val="18"/>
              </w:rPr>
              <w:t>72% of all transactions</w:t>
            </w:r>
          </w:p>
        </w:tc>
        <w:tc>
          <w:tcPr>
            <w:tcW w:type="dxa" w:w="3041"/>
            <w:shd w:val="clear" w:color="auto" w:fill="F2F2F2"/>
          </w:tcPr>
          <w:p>
            <w:r>
              <w:rPr>
                <w:sz w:val="18"/>
              </w:rPr>
              <w:t>Google APAC</w:t>
            </w:r>
          </w:p>
        </w:tc>
      </w:tr>
      <w:tr>
        <w:tc>
          <w:tcPr>
            <w:tcW w:type="dxa" w:w="3041"/>
            <w:shd w:val="clear" w:color="auto" w:fill="FFFFFF"/>
          </w:tcPr>
          <w:p>
            <w:r>
              <w:rPr>
                <w:sz w:val="18"/>
              </w:rPr>
              <w:t>Most popular payment method</w:t>
            </w:r>
          </w:p>
        </w:tc>
        <w:tc>
          <w:tcPr>
            <w:tcW w:type="dxa" w:w="3041"/>
            <w:shd w:val="clear" w:color="auto" w:fill="FFFFFF"/>
          </w:tcPr>
          <w:p>
            <w:r>
              <w:rPr>
                <w:sz w:val="18"/>
              </w:rPr>
              <w:t>FPX (47%), e-wallet (38%)</w:t>
            </w:r>
          </w:p>
        </w:tc>
        <w:tc>
          <w:tcPr>
            <w:tcW w:type="dxa" w:w="3041"/>
            <w:shd w:val="clear" w:color="auto" w:fill="FFFFFF"/>
          </w:tcPr>
          <w:p>
            <w:r>
              <w:rPr>
                <w:sz w:val="18"/>
              </w:rPr>
              <w:t>BNM 2024</w:t>
            </w:r>
          </w:p>
        </w:tc>
      </w:tr>
      <w:tr>
        <w:tc>
          <w:tcPr>
            <w:tcW w:type="dxa" w:w="3041"/>
            <w:shd w:val="clear" w:color="auto" w:fill="F2F2F2"/>
          </w:tcPr>
          <w:p>
            <w:r>
              <w:rPr>
                <w:sz w:val="18"/>
              </w:rPr>
              <w:t>Average basket size (fashion/lifestyle)</w:t>
            </w:r>
          </w:p>
        </w:tc>
        <w:tc>
          <w:tcPr>
            <w:tcW w:type="dxa" w:w="3041"/>
            <w:shd w:val="clear" w:color="auto" w:fill="F2F2F2"/>
          </w:tcPr>
          <w:p>
            <w:r>
              <w:rPr>
                <w:sz w:val="18"/>
              </w:rPr>
              <w:t>RM 68–95</w:t>
            </w:r>
          </w:p>
        </w:tc>
        <w:tc>
          <w:tcPr>
            <w:tcW w:type="dxa" w:w="3041"/>
            <w:shd w:val="clear" w:color="auto" w:fill="F2F2F2"/>
          </w:tcPr>
          <w:p>
            <w:r>
              <w:rPr>
                <w:sz w:val="18"/>
              </w:rPr>
              <w:t>Shopee Malaysia data</w:t>
            </w:r>
          </w:p>
        </w:tc>
      </w:tr>
      <w:tr>
        <w:tc>
          <w:tcPr>
            <w:tcW w:type="dxa" w:w="3041"/>
            <w:shd w:val="clear" w:color="auto" w:fill="FFFFFF"/>
          </w:tcPr>
          <w:p>
            <w:r>
              <w:rPr>
                <w:sz w:val="18"/>
              </w:rPr>
              <w:t>Social commerce penetration</w:t>
            </w:r>
          </w:p>
        </w:tc>
        <w:tc>
          <w:tcPr>
            <w:tcW w:type="dxa" w:w="3041"/>
            <w:shd w:val="clear" w:color="auto" w:fill="FFFFFF"/>
          </w:tcPr>
          <w:p>
            <w:r>
              <w:rPr>
                <w:sz w:val="18"/>
              </w:rPr>
              <w:t>61% of online shoppers</w:t>
            </w:r>
          </w:p>
        </w:tc>
        <w:tc>
          <w:tcPr>
            <w:tcW w:type="dxa" w:w="3041"/>
            <w:shd w:val="clear" w:color="auto" w:fill="FFFFFF"/>
          </w:tcPr>
          <w:p>
            <w:r>
              <w:rPr>
                <w:sz w:val="18"/>
              </w:rPr>
              <w:t>Nielsen Malaysia</w:t>
            </w:r>
          </w:p>
        </w:tc>
      </w:tr>
    </w:tbl>
    <w:p/>
    <w:p>
      <w:r>
        <w:t>Key insight: The Malaysian consumer increasingly discovers products via social media but completes purchases via a trusted storefront. For a brand like SBL Co with strong local identity, D2C builds brand equity that marketplace listings cannot.</w:t>
      </w:r>
    </w:p>
    <w:p>
      <w:pPr>
        <w:pStyle w:val="Heading3"/>
        <w:jc w:val="left"/>
      </w:pPr>
      <w:r>
        <w:rPr>
          <w:color w:val="2E74B5"/>
        </w:rPr>
        <w:t>1.2 Platform Comparison &amp; Selection Rationale</w:t>
      </w:r>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shd w:val="clear" w:color="auto" w:fill="1F3864"/>
          </w:tcPr>
          <w:p>
            <w:pPr>
              <w:jc w:val="center"/>
            </w:pPr>
            <w:r>
              <w:rPr>
                <w:b/>
                <w:color w:val="FFFFFF"/>
                <w:sz w:val="18"/>
              </w:rPr>
              <w:t>Platform</w:t>
            </w:r>
          </w:p>
        </w:tc>
        <w:tc>
          <w:tcPr>
            <w:tcW w:type="dxa" w:w="1520"/>
            <w:shd w:val="clear" w:color="auto" w:fill="1F3864"/>
          </w:tcPr>
          <w:p>
            <w:pPr>
              <w:jc w:val="center"/>
            </w:pPr>
            <w:r>
              <w:rPr>
                <w:b/>
                <w:color w:val="FFFFFF"/>
                <w:sz w:val="18"/>
              </w:rPr>
              <w:t>Monthly Fee</w:t>
            </w:r>
          </w:p>
        </w:tc>
        <w:tc>
          <w:tcPr>
            <w:tcW w:type="dxa" w:w="1520"/>
            <w:shd w:val="clear" w:color="auto" w:fill="1F3864"/>
          </w:tcPr>
          <w:p>
            <w:pPr>
              <w:jc w:val="center"/>
            </w:pPr>
            <w:r>
              <w:rPr>
                <w:b/>
                <w:color w:val="FFFFFF"/>
                <w:sz w:val="18"/>
              </w:rPr>
              <w:t>Transaction Fee</w:t>
            </w:r>
          </w:p>
        </w:tc>
        <w:tc>
          <w:tcPr>
            <w:tcW w:type="dxa" w:w="1520"/>
            <w:shd w:val="clear" w:color="auto" w:fill="1F3864"/>
          </w:tcPr>
          <w:p>
            <w:pPr>
              <w:jc w:val="center"/>
            </w:pPr>
            <w:r>
              <w:rPr>
                <w:b/>
                <w:color w:val="FFFFFF"/>
                <w:sz w:val="18"/>
              </w:rPr>
              <w:t>Brand Control</w:t>
            </w:r>
          </w:p>
        </w:tc>
        <w:tc>
          <w:tcPr>
            <w:tcW w:type="dxa" w:w="1520"/>
            <w:shd w:val="clear" w:color="auto" w:fill="1F3864"/>
          </w:tcPr>
          <w:p>
            <w:pPr>
              <w:jc w:val="center"/>
            </w:pPr>
            <w:r>
              <w:rPr>
                <w:b/>
                <w:color w:val="FFFFFF"/>
                <w:sz w:val="18"/>
              </w:rPr>
              <w:t>Data Ownership</w:t>
            </w:r>
          </w:p>
        </w:tc>
        <w:tc>
          <w:tcPr>
            <w:tcW w:type="dxa" w:w="1520"/>
            <w:shd w:val="clear" w:color="auto" w:fill="1F3864"/>
          </w:tcPr>
          <w:p>
            <w:pPr>
              <w:jc w:val="center"/>
            </w:pPr>
            <w:r>
              <w:rPr>
                <w:b/>
                <w:color w:val="FFFFFF"/>
                <w:sz w:val="18"/>
              </w:rPr>
              <w:t>Ad Integration</w:t>
            </w:r>
          </w:p>
        </w:tc>
      </w:tr>
      <w:tr>
        <w:tc>
          <w:tcPr>
            <w:tcW w:type="dxa" w:w="1520"/>
            <w:shd w:val="clear" w:color="auto" w:fill="F2F2F2"/>
          </w:tcPr>
          <w:p>
            <w:r>
              <w:rPr>
                <w:sz w:val="18"/>
              </w:rPr>
              <w:t>Shopify</w:t>
            </w:r>
          </w:p>
        </w:tc>
        <w:tc>
          <w:tcPr>
            <w:tcW w:type="dxa" w:w="1520"/>
            <w:shd w:val="clear" w:color="auto" w:fill="F2F2F2"/>
          </w:tcPr>
          <w:p>
            <w:r>
              <w:rPr>
                <w:sz w:val="18"/>
              </w:rPr>
              <w:t>RM 120–500</w:t>
            </w:r>
          </w:p>
        </w:tc>
        <w:tc>
          <w:tcPr>
            <w:tcW w:type="dxa" w:w="1520"/>
            <w:shd w:val="clear" w:color="auto" w:fill="F2F2F2"/>
          </w:tcPr>
          <w:p>
            <w:r>
              <w:rPr>
                <w:sz w:val="18"/>
              </w:rPr>
              <w:t>0.5–2%</w:t>
            </w:r>
          </w:p>
        </w:tc>
        <w:tc>
          <w:tcPr>
            <w:tcW w:type="dxa" w:w="1520"/>
            <w:shd w:val="clear" w:color="auto" w:fill="F2F2F2"/>
          </w:tcPr>
          <w:p>
            <w:r>
              <w:rPr>
                <w:sz w:val="18"/>
              </w:rPr>
              <w:t>High</w:t>
            </w:r>
          </w:p>
        </w:tc>
        <w:tc>
          <w:tcPr>
            <w:tcW w:type="dxa" w:w="1520"/>
            <w:shd w:val="clear" w:color="auto" w:fill="F2F2F2"/>
          </w:tcPr>
          <w:p>
            <w:r>
              <w:rPr>
                <w:sz w:val="18"/>
              </w:rPr>
              <w:t>Full</w:t>
            </w:r>
          </w:p>
        </w:tc>
        <w:tc>
          <w:tcPr>
            <w:tcW w:type="dxa" w:w="1520"/>
            <w:shd w:val="clear" w:color="auto" w:fill="F2F2F2"/>
          </w:tcPr>
          <w:p>
            <w:r>
              <w:rPr>
                <w:sz w:val="18"/>
              </w:rPr>
              <w:t>Excellent</w:t>
            </w:r>
          </w:p>
        </w:tc>
      </w:tr>
      <w:tr>
        <w:tc>
          <w:tcPr>
            <w:tcW w:type="dxa" w:w="1520"/>
            <w:shd w:val="clear" w:color="auto" w:fill="FFFFFF"/>
          </w:tcPr>
          <w:p>
            <w:r>
              <w:rPr>
                <w:sz w:val="18"/>
              </w:rPr>
              <w:t>Shopee</w:t>
            </w:r>
          </w:p>
        </w:tc>
        <w:tc>
          <w:tcPr>
            <w:tcW w:type="dxa" w:w="1520"/>
            <w:shd w:val="clear" w:color="auto" w:fill="FFFFFF"/>
          </w:tcPr>
          <w:p>
            <w:r>
              <w:rPr>
                <w:sz w:val="18"/>
              </w:rPr>
              <w:t>RM 0</w:t>
            </w:r>
          </w:p>
        </w:tc>
        <w:tc>
          <w:tcPr>
            <w:tcW w:type="dxa" w:w="1520"/>
            <w:shd w:val="clear" w:color="auto" w:fill="FFFFFF"/>
          </w:tcPr>
          <w:p>
            <w:r>
              <w:rPr>
                <w:sz w:val="18"/>
              </w:rPr>
              <w:t>3–5%</w:t>
            </w:r>
          </w:p>
        </w:tc>
        <w:tc>
          <w:tcPr>
            <w:tcW w:type="dxa" w:w="1520"/>
            <w:shd w:val="clear" w:color="auto" w:fill="FFFFFF"/>
          </w:tcPr>
          <w:p>
            <w:r>
              <w:rPr>
                <w:sz w:val="18"/>
              </w:rPr>
              <w:t>Low</w:t>
            </w:r>
          </w:p>
        </w:tc>
        <w:tc>
          <w:tcPr>
            <w:tcW w:type="dxa" w:w="1520"/>
            <w:shd w:val="clear" w:color="auto" w:fill="FFFFFF"/>
          </w:tcPr>
          <w:p>
            <w:r>
              <w:rPr>
                <w:sz w:val="18"/>
              </w:rPr>
              <w:t>None</w:t>
            </w:r>
          </w:p>
        </w:tc>
        <w:tc>
          <w:tcPr>
            <w:tcW w:type="dxa" w:w="1520"/>
            <w:shd w:val="clear" w:color="auto" w:fill="FFFFFF"/>
          </w:tcPr>
          <w:p>
            <w:r>
              <w:rPr>
                <w:sz w:val="18"/>
              </w:rPr>
              <w:t>Limited</w:t>
            </w:r>
          </w:p>
        </w:tc>
      </w:tr>
      <w:tr>
        <w:tc>
          <w:tcPr>
            <w:tcW w:type="dxa" w:w="1520"/>
            <w:shd w:val="clear" w:color="auto" w:fill="F2F2F2"/>
          </w:tcPr>
          <w:p>
            <w:r>
              <w:rPr>
                <w:sz w:val="18"/>
              </w:rPr>
              <w:t>Lazada</w:t>
            </w:r>
          </w:p>
        </w:tc>
        <w:tc>
          <w:tcPr>
            <w:tcW w:type="dxa" w:w="1520"/>
            <w:shd w:val="clear" w:color="auto" w:fill="F2F2F2"/>
          </w:tcPr>
          <w:p>
            <w:r>
              <w:rPr>
                <w:sz w:val="18"/>
              </w:rPr>
              <w:t>RM 0</w:t>
            </w:r>
          </w:p>
        </w:tc>
        <w:tc>
          <w:tcPr>
            <w:tcW w:type="dxa" w:w="1520"/>
            <w:shd w:val="clear" w:color="auto" w:fill="F2F2F2"/>
          </w:tcPr>
          <w:p>
            <w:r>
              <w:rPr>
                <w:sz w:val="18"/>
              </w:rPr>
              <w:t>4–6%</w:t>
            </w:r>
          </w:p>
        </w:tc>
        <w:tc>
          <w:tcPr>
            <w:tcW w:type="dxa" w:w="1520"/>
            <w:shd w:val="clear" w:color="auto" w:fill="F2F2F2"/>
          </w:tcPr>
          <w:p>
            <w:r>
              <w:rPr>
                <w:sz w:val="18"/>
              </w:rPr>
              <w:t>Low</w:t>
            </w:r>
          </w:p>
        </w:tc>
        <w:tc>
          <w:tcPr>
            <w:tcW w:type="dxa" w:w="1520"/>
            <w:shd w:val="clear" w:color="auto" w:fill="F2F2F2"/>
          </w:tcPr>
          <w:p>
            <w:r>
              <w:rPr>
                <w:sz w:val="18"/>
              </w:rPr>
              <w:t>None</w:t>
            </w:r>
          </w:p>
        </w:tc>
        <w:tc>
          <w:tcPr>
            <w:tcW w:type="dxa" w:w="1520"/>
            <w:shd w:val="clear" w:color="auto" w:fill="F2F2F2"/>
          </w:tcPr>
          <w:p>
            <w:r>
              <w:rPr>
                <w:sz w:val="18"/>
              </w:rPr>
              <w:t>Limited</w:t>
            </w:r>
          </w:p>
        </w:tc>
      </w:tr>
      <w:tr>
        <w:tc>
          <w:tcPr>
            <w:tcW w:type="dxa" w:w="1520"/>
            <w:shd w:val="clear" w:color="auto" w:fill="FFFFFF"/>
          </w:tcPr>
          <w:p>
            <w:r>
              <w:rPr>
                <w:sz w:val="18"/>
              </w:rPr>
              <w:t>TikTok Shop</w:t>
            </w:r>
          </w:p>
        </w:tc>
        <w:tc>
          <w:tcPr>
            <w:tcW w:type="dxa" w:w="1520"/>
            <w:shd w:val="clear" w:color="auto" w:fill="FFFFFF"/>
          </w:tcPr>
          <w:p>
            <w:r>
              <w:rPr>
                <w:sz w:val="18"/>
              </w:rPr>
              <w:t>RM 0</w:t>
            </w:r>
          </w:p>
        </w:tc>
        <w:tc>
          <w:tcPr>
            <w:tcW w:type="dxa" w:w="1520"/>
            <w:shd w:val="clear" w:color="auto" w:fill="FFFFFF"/>
          </w:tcPr>
          <w:p>
            <w:r>
              <w:rPr>
                <w:sz w:val="18"/>
              </w:rPr>
              <w:t>1–5%</w:t>
            </w:r>
          </w:p>
        </w:tc>
        <w:tc>
          <w:tcPr>
            <w:tcW w:type="dxa" w:w="1520"/>
            <w:shd w:val="clear" w:color="auto" w:fill="FFFFFF"/>
          </w:tcPr>
          <w:p>
            <w:r>
              <w:rPr>
                <w:sz w:val="18"/>
              </w:rPr>
              <w:t>Medium</w:t>
            </w:r>
          </w:p>
        </w:tc>
        <w:tc>
          <w:tcPr>
            <w:tcW w:type="dxa" w:w="1520"/>
            <w:shd w:val="clear" w:color="auto" w:fill="FFFFFF"/>
          </w:tcPr>
          <w:p>
            <w:r>
              <w:rPr>
                <w:sz w:val="18"/>
              </w:rPr>
              <w:t>Partial</w:t>
            </w:r>
          </w:p>
        </w:tc>
        <w:tc>
          <w:tcPr>
            <w:tcW w:type="dxa" w:w="1520"/>
            <w:shd w:val="clear" w:color="auto" w:fill="FFFFFF"/>
          </w:tcPr>
          <w:p>
            <w:r>
              <w:rPr>
                <w:sz w:val="18"/>
              </w:rPr>
              <w:t>TikTok only</w:t>
            </w:r>
          </w:p>
        </w:tc>
      </w:tr>
      <w:tr>
        <w:tc>
          <w:tcPr>
            <w:tcW w:type="dxa" w:w="1520"/>
            <w:shd w:val="clear" w:color="auto" w:fill="F2F2F2"/>
          </w:tcPr>
          <w:p>
            <w:r>
              <w:rPr>
                <w:sz w:val="18"/>
              </w:rPr>
              <w:t>Custom D2C Store (SELECTED)</w:t>
            </w:r>
          </w:p>
        </w:tc>
        <w:tc>
          <w:tcPr>
            <w:tcW w:type="dxa" w:w="1520"/>
            <w:shd w:val="clear" w:color="auto" w:fill="F2F2F2"/>
          </w:tcPr>
          <w:p>
            <w:r>
              <w:rPr>
                <w:sz w:val="18"/>
              </w:rPr>
              <w:t>RM 0</w:t>
            </w:r>
          </w:p>
        </w:tc>
        <w:tc>
          <w:tcPr>
            <w:tcW w:type="dxa" w:w="1520"/>
            <w:shd w:val="clear" w:color="auto" w:fill="F2F2F2"/>
          </w:tcPr>
          <w:p>
            <w:r>
              <w:rPr>
                <w:sz w:val="18"/>
              </w:rPr>
              <w:t>0%</w:t>
            </w:r>
          </w:p>
        </w:tc>
        <w:tc>
          <w:tcPr>
            <w:tcW w:type="dxa" w:w="1520"/>
            <w:shd w:val="clear" w:color="auto" w:fill="F2F2F2"/>
          </w:tcPr>
          <w:p>
            <w:r>
              <w:rPr>
                <w:sz w:val="18"/>
              </w:rPr>
              <w:t>Full</w:t>
            </w:r>
          </w:p>
        </w:tc>
        <w:tc>
          <w:tcPr>
            <w:tcW w:type="dxa" w:w="1520"/>
            <w:shd w:val="clear" w:color="auto" w:fill="F2F2F2"/>
          </w:tcPr>
          <w:p>
            <w:r>
              <w:rPr>
                <w:sz w:val="18"/>
              </w:rPr>
              <w:t>Full</w:t>
            </w:r>
          </w:p>
        </w:tc>
        <w:tc>
          <w:tcPr>
            <w:tcW w:type="dxa" w:w="1520"/>
            <w:shd w:val="clear" w:color="auto" w:fill="F2F2F2"/>
          </w:tcPr>
          <w:p>
            <w:r>
              <w:rPr>
                <w:sz w:val="18"/>
              </w:rPr>
              <w:t>All platforms</w:t>
            </w:r>
          </w:p>
        </w:tc>
      </w:tr>
    </w:tbl>
    <w:p/>
    <w:p>
      <w:r>
        <w:t>Decision: Custom-built D2C storefront deployed on GitHub Pages (zero cost), with full brand control and no commission fees. Monthly savings of RM 120–500 are redirected to Meta Ads spend, accelerating customer acquisition during the validation phase.</w:t>
      </w:r>
    </w:p>
    <w:p>
      <w:pPr>
        <w:pStyle w:val="Heading3"/>
        <w:jc w:val="left"/>
      </w:pPr>
      <w:r>
        <w:rPr>
          <w:color w:val="2E74B5"/>
        </w:rPr>
        <w:t>1.3 Competitor Analysis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18"/>
              </w:rPr>
              <w:t>Competitor</w:t>
            </w:r>
          </w:p>
        </w:tc>
        <w:tc>
          <w:tcPr>
            <w:tcW w:type="dxa" w:w="2280"/>
            <w:shd w:val="clear" w:color="auto" w:fill="1F3864"/>
          </w:tcPr>
          <w:p>
            <w:pPr>
              <w:jc w:val="center"/>
            </w:pPr>
            <w:r>
              <w:rPr>
                <w:b/>
                <w:color w:val="FFFFFF"/>
                <w:sz w:val="18"/>
              </w:rPr>
              <w:t>Platform</w:t>
            </w:r>
          </w:p>
        </w:tc>
        <w:tc>
          <w:tcPr>
            <w:tcW w:type="dxa" w:w="2280"/>
            <w:shd w:val="clear" w:color="auto" w:fill="1F3864"/>
          </w:tcPr>
          <w:p>
            <w:pPr>
              <w:jc w:val="center"/>
            </w:pPr>
            <w:r>
              <w:rPr>
                <w:b/>
                <w:color w:val="FFFFFF"/>
                <w:sz w:val="18"/>
              </w:rPr>
              <w:t>Strengths</w:t>
            </w:r>
          </w:p>
        </w:tc>
        <w:tc>
          <w:tcPr>
            <w:tcW w:type="dxa" w:w="2280"/>
            <w:shd w:val="clear" w:color="auto" w:fill="1F3864"/>
          </w:tcPr>
          <w:p>
            <w:pPr>
              <w:jc w:val="center"/>
            </w:pPr>
            <w:r>
              <w:rPr>
                <w:b/>
                <w:color w:val="FFFFFF"/>
                <w:sz w:val="18"/>
              </w:rPr>
              <w:t>SBL Opportunity</w:t>
            </w:r>
          </w:p>
        </w:tc>
      </w:tr>
      <w:tr>
        <w:tc>
          <w:tcPr>
            <w:tcW w:type="dxa" w:w="2280"/>
            <w:shd w:val="clear" w:color="auto" w:fill="F2F2F2"/>
          </w:tcPr>
          <w:p>
            <w:r>
              <w:rPr>
                <w:sz w:val="18"/>
              </w:rPr>
              <w:t>Kapas Club (Sabah merch)</w:t>
            </w:r>
          </w:p>
        </w:tc>
        <w:tc>
          <w:tcPr>
            <w:tcW w:type="dxa" w:w="2280"/>
            <w:shd w:val="clear" w:color="auto" w:fill="F2F2F2"/>
          </w:tcPr>
          <w:p>
            <w:r>
              <w:rPr>
                <w:sz w:val="18"/>
              </w:rPr>
              <w:t>Shopify</w:t>
            </w:r>
          </w:p>
        </w:tc>
        <w:tc>
          <w:tcPr>
            <w:tcW w:type="dxa" w:w="2280"/>
            <w:shd w:val="clear" w:color="auto" w:fill="F2F2F2"/>
          </w:tcPr>
          <w:p>
            <w:r>
              <w:rPr>
                <w:sz w:val="18"/>
              </w:rPr>
              <w:t>Strong branding, loyal fanbase</w:t>
            </w:r>
          </w:p>
        </w:tc>
        <w:tc>
          <w:tcPr>
            <w:tcW w:type="dxa" w:w="2280"/>
            <w:shd w:val="clear" w:color="auto" w:fill="F2F2F2"/>
          </w:tcPr>
          <w:p>
            <w:r>
              <w:rPr>
                <w:sz w:val="18"/>
              </w:rPr>
              <w:t>Own the Pahang/Lipis identity niche</w:t>
            </w:r>
          </w:p>
        </w:tc>
      </w:tr>
      <w:tr>
        <w:tc>
          <w:tcPr>
            <w:tcW w:type="dxa" w:w="2280"/>
            <w:shd w:val="clear" w:color="auto" w:fill="FFFFFF"/>
          </w:tcPr>
          <w:p>
            <w:r>
              <w:rPr>
                <w:sz w:val="18"/>
              </w:rPr>
              <w:t>KL Drip (streetwear)</w:t>
            </w:r>
          </w:p>
        </w:tc>
        <w:tc>
          <w:tcPr>
            <w:tcW w:type="dxa" w:w="2280"/>
            <w:shd w:val="clear" w:color="auto" w:fill="FFFFFF"/>
          </w:tcPr>
          <w:p>
            <w:r>
              <w:rPr>
                <w:sz w:val="18"/>
              </w:rPr>
              <w:t>Custom + Shopee</w:t>
            </w:r>
          </w:p>
        </w:tc>
        <w:tc>
          <w:tcPr>
            <w:tcW w:type="dxa" w:w="2280"/>
            <w:shd w:val="clear" w:color="auto" w:fill="FFFFFF"/>
          </w:tcPr>
          <w:p>
            <w:r>
              <w:rPr>
                <w:sz w:val="18"/>
              </w:rPr>
              <w:t>Wide reach</w:t>
            </w:r>
          </w:p>
        </w:tc>
        <w:tc>
          <w:tcPr>
            <w:tcW w:type="dxa" w:w="2280"/>
            <w:shd w:val="clear" w:color="auto" w:fill="FFFFFF"/>
          </w:tcPr>
          <w:p>
            <w:r>
              <w:rPr>
                <w:sz w:val="18"/>
              </w:rPr>
              <w:t>Hyper-local positioning</w:t>
            </w:r>
          </w:p>
        </w:tc>
      </w:tr>
      <w:tr>
        <w:tc>
          <w:tcPr>
            <w:tcW w:type="dxa" w:w="2280"/>
            <w:shd w:val="clear" w:color="auto" w:fill="F2F2F2"/>
          </w:tcPr>
          <w:p>
            <w:r>
              <w:rPr>
                <w:sz w:val="18"/>
              </w:rPr>
              <w:t>Local football club merch</w:t>
            </w:r>
          </w:p>
        </w:tc>
        <w:tc>
          <w:tcPr>
            <w:tcW w:type="dxa" w:w="2280"/>
            <w:shd w:val="clear" w:color="auto" w:fill="F2F2F2"/>
          </w:tcPr>
          <w:p>
            <w:r>
              <w:rPr>
                <w:sz w:val="18"/>
              </w:rPr>
              <w:t>WhatsApp/manual</w:t>
            </w:r>
          </w:p>
        </w:tc>
        <w:tc>
          <w:tcPr>
            <w:tcW w:type="dxa" w:w="2280"/>
            <w:shd w:val="clear" w:color="auto" w:fill="F2F2F2"/>
          </w:tcPr>
          <w:p>
            <w:r>
              <w:rPr>
                <w:sz w:val="18"/>
              </w:rPr>
              <w:t>Existing community</w:t>
            </w:r>
          </w:p>
        </w:tc>
        <w:tc>
          <w:tcPr>
            <w:tcW w:type="dxa" w:w="2280"/>
            <w:shd w:val="clear" w:color="auto" w:fill="F2F2F2"/>
          </w:tcPr>
          <w:p>
            <w:r>
              <w:rPr>
                <w:sz w:val="18"/>
              </w:rPr>
              <w:t>Better UX + paid traffic</w:t>
            </w:r>
          </w:p>
        </w:tc>
      </w:tr>
      <w:tr>
        <w:tc>
          <w:tcPr>
            <w:tcW w:type="dxa" w:w="2280"/>
            <w:shd w:val="clear" w:color="auto" w:fill="FFFFFF"/>
          </w:tcPr>
          <w:p>
            <w:r>
              <w:rPr>
                <w:sz w:val="18"/>
              </w:rPr>
              <w:t>Generic Instagram brands</w:t>
            </w:r>
          </w:p>
        </w:tc>
        <w:tc>
          <w:tcPr>
            <w:tcW w:type="dxa" w:w="2280"/>
            <w:shd w:val="clear" w:color="auto" w:fill="FFFFFF"/>
          </w:tcPr>
          <w:p>
            <w:r>
              <w:rPr>
                <w:sz w:val="18"/>
              </w:rPr>
              <w:t>Instagram Shop</w:t>
            </w:r>
          </w:p>
        </w:tc>
        <w:tc>
          <w:tcPr>
            <w:tcW w:type="dxa" w:w="2280"/>
            <w:shd w:val="clear" w:color="auto" w:fill="FFFFFF"/>
          </w:tcPr>
          <w:p>
            <w:r>
              <w:rPr>
                <w:sz w:val="18"/>
              </w:rPr>
              <w:t>Aesthetic content</w:t>
            </w:r>
          </w:p>
        </w:tc>
        <w:tc>
          <w:tcPr>
            <w:tcW w:type="dxa" w:w="2280"/>
            <w:shd w:val="clear" w:color="auto" w:fill="FFFFFF"/>
          </w:tcPr>
          <w:p>
            <w:r>
              <w:rPr>
                <w:sz w:val="18"/>
              </w:rPr>
              <w:t>Better landing page experience</w:t>
            </w:r>
          </w:p>
        </w:tc>
      </w:tr>
    </w:tbl>
    <w:p/>
    <w:p>
      <w:pPr>
        <w:pStyle w:val="Heading3"/>
        <w:jc w:val="left"/>
      </w:pPr>
      <w:r>
        <w:rPr>
          <w:color w:val="2E74B5"/>
        </w:rPr>
        <w:t>1.4 Target Customer Segmentation</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Pr>
                <w:b/>
                <w:color w:val="FFFFFF"/>
                <w:sz w:val="18"/>
              </w:rPr>
              <w:t>Segment</w:t>
            </w:r>
          </w:p>
        </w:tc>
        <w:tc>
          <w:tcPr>
            <w:tcW w:type="dxa" w:w="1824"/>
            <w:shd w:val="clear" w:color="auto" w:fill="1F3864"/>
          </w:tcPr>
          <w:p>
            <w:pPr>
              <w:jc w:val="center"/>
            </w:pPr>
            <w:r>
              <w:rPr>
                <w:b/>
                <w:color w:val="FFFFFF"/>
                <w:sz w:val="18"/>
              </w:rPr>
              <w:t>Profile</w:t>
            </w:r>
          </w:p>
        </w:tc>
        <w:tc>
          <w:tcPr>
            <w:tcW w:type="dxa" w:w="1824"/>
            <w:shd w:val="clear" w:color="auto" w:fill="1F3864"/>
          </w:tcPr>
          <w:p>
            <w:pPr>
              <w:jc w:val="center"/>
            </w:pPr>
            <w:r>
              <w:rPr>
                <w:b/>
                <w:color w:val="FFFFFF"/>
                <w:sz w:val="18"/>
              </w:rPr>
              <w:t>Est. Reach</w:t>
            </w:r>
          </w:p>
        </w:tc>
        <w:tc>
          <w:tcPr>
            <w:tcW w:type="dxa" w:w="1824"/>
            <w:shd w:val="clear" w:color="auto" w:fill="1F3864"/>
          </w:tcPr>
          <w:p>
            <w:pPr>
              <w:jc w:val="center"/>
            </w:pPr>
            <w:r>
              <w:rPr>
                <w:b/>
                <w:color w:val="FFFFFF"/>
                <w:sz w:val="18"/>
              </w:rPr>
              <w:t>Channel</w:t>
            </w:r>
          </w:p>
        </w:tc>
        <w:tc>
          <w:tcPr>
            <w:tcW w:type="dxa" w:w="1824"/>
            <w:shd w:val="clear" w:color="auto" w:fill="1F3864"/>
          </w:tcPr>
          <w:p>
            <w:pPr>
              <w:jc w:val="center"/>
            </w:pPr>
            <w:r>
              <w:rPr>
                <w:b/>
                <w:color w:val="FFFFFF"/>
                <w:sz w:val="18"/>
              </w:rPr>
              <w:t>Expected AOV</w:t>
            </w:r>
          </w:p>
        </w:tc>
      </w:tr>
      <w:tr>
        <w:tc>
          <w:tcPr>
            <w:tcW w:type="dxa" w:w="1824"/>
            <w:shd w:val="clear" w:color="auto" w:fill="F2F2F2"/>
          </w:tcPr>
          <w:p>
            <w:r>
              <w:rPr>
                <w:sz w:val="18"/>
              </w:rPr>
              <w:t>Kuala Lipis locals</w:t>
            </w:r>
          </w:p>
        </w:tc>
        <w:tc>
          <w:tcPr>
            <w:tcW w:type="dxa" w:w="1824"/>
            <w:shd w:val="clear" w:color="auto" w:fill="F2F2F2"/>
          </w:tcPr>
          <w:p>
            <w:r>
              <w:rPr>
                <w:sz w:val="18"/>
              </w:rPr>
              <w:t>Age 18–35, mobile-first, proud of hometown</w:t>
            </w:r>
          </w:p>
        </w:tc>
        <w:tc>
          <w:tcPr>
            <w:tcW w:type="dxa" w:w="1824"/>
            <w:shd w:val="clear" w:color="auto" w:fill="F2F2F2"/>
          </w:tcPr>
          <w:p>
            <w:r>
              <w:rPr>
                <w:sz w:val="18"/>
              </w:rPr>
              <w:t>~8,000</w:t>
            </w:r>
          </w:p>
        </w:tc>
        <w:tc>
          <w:tcPr>
            <w:tcW w:type="dxa" w:w="1824"/>
            <w:shd w:val="clear" w:color="auto" w:fill="F2F2F2"/>
          </w:tcPr>
          <w:p>
            <w:r>
              <w:rPr>
                <w:sz w:val="18"/>
              </w:rPr>
              <w:t>Instagram, WhatsApp</w:t>
            </w:r>
          </w:p>
        </w:tc>
        <w:tc>
          <w:tcPr>
            <w:tcW w:type="dxa" w:w="1824"/>
            <w:shd w:val="clear" w:color="auto" w:fill="F2F2F2"/>
          </w:tcPr>
          <w:p>
            <w:r>
              <w:rPr>
                <w:sz w:val="18"/>
              </w:rPr>
              <w:t>RM 49–89</w:t>
            </w:r>
          </w:p>
        </w:tc>
      </w:tr>
      <w:tr>
        <w:tc>
          <w:tcPr>
            <w:tcW w:type="dxa" w:w="1824"/>
            <w:shd w:val="clear" w:color="auto" w:fill="FFFFFF"/>
          </w:tcPr>
          <w:p>
            <w:r>
              <w:rPr>
                <w:sz w:val="18"/>
              </w:rPr>
              <w:t>Pahang diaspora (KL/Selangor)</w:t>
            </w:r>
          </w:p>
        </w:tc>
        <w:tc>
          <w:tcPr>
            <w:tcW w:type="dxa" w:w="1824"/>
            <w:shd w:val="clear" w:color="auto" w:fill="FFFFFF"/>
          </w:tcPr>
          <w:p>
            <w:r>
              <w:rPr>
                <w:sz w:val="18"/>
              </w:rPr>
              <w:t>Age 22–40, nostalgia buyers, gifting</w:t>
            </w:r>
          </w:p>
        </w:tc>
        <w:tc>
          <w:tcPr>
            <w:tcW w:type="dxa" w:w="1824"/>
            <w:shd w:val="clear" w:color="auto" w:fill="FFFFFF"/>
          </w:tcPr>
          <w:p>
            <w:r>
              <w:rPr>
                <w:sz w:val="18"/>
              </w:rPr>
              <w:t>~25,000</w:t>
            </w:r>
          </w:p>
        </w:tc>
        <w:tc>
          <w:tcPr>
            <w:tcW w:type="dxa" w:w="1824"/>
            <w:shd w:val="clear" w:color="auto" w:fill="FFFFFF"/>
          </w:tcPr>
          <w:p>
            <w:r>
              <w:rPr>
                <w:sz w:val="18"/>
              </w:rPr>
              <w:t>Facebook, Instagram</w:t>
            </w:r>
          </w:p>
        </w:tc>
        <w:tc>
          <w:tcPr>
            <w:tcW w:type="dxa" w:w="1824"/>
            <w:shd w:val="clear" w:color="auto" w:fill="FFFFFF"/>
          </w:tcPr>
          <w:p>
            <w:r>
              <w:rPr>
                <w:sz w:val="18"/>
              </w:rPr>
              <w:t>RM 69–120</w:t>
            </w:r>
          </w:p>
        </w:tc>
      </w:tr>
      <w:tr>
        <w:tc>
          <w:tcPr>
            <w:tcW w:type="dxa" w:w="1824"/>
            <w:shd w:val="clear" w:color="auto" w:fill="F2F2F2"/>
          </w:tcPr>
          <w:p>
            <w:r>
              <w:rPr>
                <w:sz w:val="18"/>
              </w:rPr>
              <w:t>Football/sports community</w:t>
            </w:r>
          </w:p>
        </w:tc>
        <w:tc>
          <w:tcPr>
            <w:tcW w:type="dxa" w:w="1824"/>
            <w:shd w:val="clear" w:color="auto" w:fill="F2F2F2"/>
          </w:tcPr>
          <w:p>
            <w:r>
              <w:rPr>
                <w:sz w:val="18"/>
              </w:rPr>
              <w:t>Age 16–30, team identity buyers</w:t>
            </w:r>
          </w:p>
        </w:tc>
        <w:tc>
          <w:tcPr>
            <w:tcW w:type="dxa" w:w="1824"/>
            <w:shd w:val="clear" w:color="auto" w:fill="F2F2F2"/>
          </w:tcPr>
          <w:p>
            <w:r>
              <w:rPr>
                <w:sz w:val="18"/>
              </w:rPr>
              <w:t>~12,000</w:t>
            </w:r>
          </w:p>
        </w:tc>
        <w:tc>
          <w:tcPr>
            <w:tcW w:type="dxa" w:w="1824"/>
            <w:shd w:val="clear" w:color="auto" w:fill="F2F2F2"/>
          </w:tcPr>
          <w:p>
            <w:r>
              <w:rPr>
                <w:sz w:val="18"/>
              </w:rPr>
              <w:t>TikTok, Instagram</w:t>
            </w:r>
          </w:p>
        </w:tc>
        <w:tc>
          <w:tcPr>
            <w:tcW w:type="dxa" w:w="1824"/>
            <w:shd w:val="clear" w:color="auto" w:fill="F2F2F2"/>
          </w:tcPr>
          <w:p>
            <w:r>
              <w:rPr>
                <w:sz w:val="18"/>
              </w:rPr>
              <w:t>RM 39–69</w:t>
            </w:r>
          </w:p>
        </w:tc>
      </w:tr>
      <w:tr>
        <w:tc>
          <w:tcPr>
            <w:tcW w:type="dxa" w:w="1824"/>
            <w:shd w:val="clear" w:color="auto" w:fill="FFFFFF"/>
          </w:tcPr>
          <w:p>
            <w:r>
              <w:rPr>
                <w:sz w:val="18"/>
              </w:rPr>
              <w:t>Gift buyers (Raya, birthdays)</w:t>
            </w:r>
          </w:p>
        </w:tc>
        <w:tc>
          <w:tcPr>
            <w:tcW w:type="dxa" w:w="1824"/>
            <w:shd w:val="clear" w:color="auto" w:fill="FFFFFF"/>
          </w:tcPr>
          <w:p>
            <w:r>
              <w:rPr>
                <w:sz w:val="18"/>
              </w:rPr>
              <w:t>Age 25–45, occasional buyers</w:t>
            </w:r>
          </w:p>
        </w:tc>
        <w:tc>
          <w:tcPr>
            <w:tcW w:type="dxa" w:w="1824"/>
            <w:shd w:val="clear" w:color="auto" w:fill="FFFFFF"/>
          </w:tcPr>
          <w:p>
            <w:r>
              <w:rPr>
                <w:sz w:val="18"/>
              </w:rPr>
              <w:t>Seasonal spike</w:t>
            </w:r>
          </w:p>
        </w:tc>
        <w:tc>
          <w:tcPr>
            <w:tcW w:type="dxa" w:w="1824"/>
            <w:shd w:val="clear" w:color="auto" w:fill="FFFFFF"/>
          </w:tcPr>
          <w:p>
            <w:r>
              <w:rPr>
                <w:sz w:val="18"/>
              </w:rPr>
              <w:t>Facebook</w:t>
            </w:r>
          </w:p>
        </w:tc>
        <w:tc>
          <w:tcPr>
            <w:tcW w:type="dxa" w:w="1824"/>
            <w:shd w:val="clear" w:color="auto" w:fill="FFFFFF"/>
          </w:tcPr>
          <w:p>
            <w:r>
              <w:rPr>
                <w:sz w:val="18"/>
              </w:rPr>
              <w:t>RM 80–150</w:t>
            </w:r>
          </w:p>
        </w:tc>
      </w:tr>
    </w:tbl>
    <w:p/>
    <w:p>
      <w:pPr>
        <w:pStyle w:val="Heading2"/>
        <w:jc w:val="left"/>
      </w:pPr>
      <w:r>
        <w:rPr>
          <w:color w:val="1F3864"/>
        </w:rPr>
        <w:t>WA2 — E-Commerce Marketing Plan</w:t>
      </w:r>
    </w:p>
    <w:p>
      <w:pPr>
        <w:pStyle w:val="Heading3"/>
        <w:jc w:val="left"/>
      </w:pPr>
      <w:r>
        <w:rPr>
          <w:color w:val="2E74B5"/>
        </w:rPr>
        <w:t>2.1 Strategic Objectives (SMART)</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Pr>
                <w:b/>
                <w:color w:val="FFFFFF"/>
                <w:sz w:val="18"/>
              </w:rPr>
              <w:t>#</w:t>
            </w:r>
          </w:p>
        </w:tc>
        <w:tc>
          <w:tcPr>
            <w:tcW w:type="dxa" w:w="1824"/>
            <w:shd w:val="clear" w:color="auto" w:fill="1F3864"/>
          </w:tcPr>
          <w:p>
            <w:pPr>
              <w:jc w:val="center"/>
            </w:pPr>
            <w:r>
              <w:rPr>
                <w:b/>
                <w:color w:val="FFFFFF"/>
                <w:sz w:val="18"/>
              </w:rPr>
              <w:t>Objective</w:t>
            </w:r>
          </w:p>
        </w:tc>
        <w:tc>
          <w:tcPr>
            <w:tcW w:type="dxa" w:w="1824"/>
            <w:shd w:val="clear" w:color="auto" w:fill="1F3864"/>
          </w:tcPr>
          <w:p>
            <w:pPr>
              <w:jc w:val="center"/>
            </w:pPr>
            <w:r>
              <w:rPr>
                <w:b/>
                <w:color w:val="FFFFFF"/>
                <w:sz w:val="18"/>
              </w:rPr>
              <w:t>KPI</w:t>
            </w:r>
          </w:p>
        </w:tc>
        <w:tc>
          <w:tcPr>
            <w:tcW w:type="dxa" w:w="1824"/>
            <w:shd w:val="clear" w:color="auto" w:fill="1F3864"/>
          </w:tcPr>
          <w:p>
            <w:pPr>
              <w:jc w:val="center"/>
            </w:pPr>
            <w:r>
              <w:rPr>
                <w:b/>
                <w:color w:val="FFFFFF"/>
                <w:sz w:val="18"/>
              </w:rPr>
              <w:t>Target</w:t>
            </w:r>
          </w:p>
        </w:tc>
        <w:tc>
          <w:tcPr>
            <w:tcW w:type="dxa" w:w="1824"/>
            <w:shd w:val="clear" w:color="auto" w:fill="1F3864"/>
          </w:tcPr>
          <w:p>
            <w:pPr>
              <w:jc w:val="center"/>
            </w:pPr>
            <w:r>
              <w:rPr>
                <w:b/>
                <w:color w:val="FFFFFF"/>
                <w:sz w:val="18"/>
              </w:rPr>
              <w:t>Timeline</w:t>
            </w:r>
          </w:p>
        </w:tc>
      </w:tr>
      <w:tr>
        <w:tc>
          <w:tcPr>
            <w:tcW w:type="dxa" w:w="1824"/>
            <w:shd w:val="clear" w:color="auto" w:fill="F2F2F2"/>
          </w:tcPr>
          <w:p>
            <w:r>
              <w:rPr>
                <w:sz w:val="18"/>
              </w:rPr>
              <w:t>O1</w:t>
            </w:r>
          </w:p>
        </w:tc>
        <w:tc>
          <w:tcPr>
            <w:tcW w:type="dxa" w:w="1824"/>
            <w:shd w:val="clear" w:color="auto" w:fill="F2F2F2"/>
          </w:tcPr>
          <w:p>
            <w:r>
              <w:rPr>
                <w:sz w:val="18"/>
              </w:rPr>
              <w:t>Establish D2C storefront</w:t>
            </w:r>
          </w:p>
        </w:tc>
        <w:tc>
          <w:tcPr>
            <w:tcW w:type="dxa" w:w="1824"/>
            <w:shd w:val="clear" w:color="auto" w:fill="F2F2F2"/>
          </w:tcPr>
          <w:p>
            <w:r>
              <w:rPr>
                <w:sz w:val="18"/>
              </w:rPr>
              <w:t>Store live with 8+ SKUs</w:t>
            </w:r>
          </w:p>
        </w:tc>
        <w:tc>
          <w:tcPr>
            <w:tcW w:type="dxa" w:w="1824"/>
            <w:shd w:val="clear" w:color="auto" w:fill="F2F2F2"/>
          </w:tcPr>
          <w:p>
            <w:r>
              <w:rPr>
                <w:sz w:val="18"/>
              </w:rPr>
              <w:t>✅ Achieved</w:t>
            </w:r>
          </w:p>
        </w:tc>
        <w:tc>
          <w:tcPr>
            <w:tcW w:type="dxa" w:w="1824"/>
            <w:shd w:val="clear" w:color="auto" w:fill="F2F2F2"/>
          </w:tcPr>
          <w:p>
            <w:r>
              <w:rPr>
                <w:sz w:val="18"/>
              </w:rPr>
              <w:t>Q1 2025</w:t>
            </w:r>
          </w:p>
        </w:tc>
      </w:tr>
      <w:tr>
        <w:tc>
          <w:tcPr>
            <w:tcW w:type="dxa" w:w="1824"/>
            <w:shd w:val="clear" w:color="auto" w:fill="FFFFFF"/>
          </w:tcPr>
          <w:p>
            <w:r>
              <w:rPr>
                <w:sz w:val="18"/>
              </w:rPr>
              <w:t>O2</w:t>
            </w:r>
          </w:p>
        </w:tc>
        <w:tc>
          <w:tcPr>
            <w:tcW w:type="dxa" w:w="1824"/>
            <w:shd w:val="clear" w:color="auto" w:fill="FFFFFF"/>
          </w:tcPr>
          <w:p>
            <w:r>
              <w:rPr>
                <w:sz w:val="18"/>
              </w:rPr>
              <w:t>Generate first 50 paid orders</w:t>
            </w:r>
          </w:p>
        </w:tc>
        <w:tc>
          <w:tcPr>
            <w:tcW w:type="dxa" w:w="1824"/>
            <w:shd w:val="clear" w:color="auto" w:fill="FFFFFF"/>
          </w:tcPr>
          <w:p>
            <w:r>
              <w:rPr>
                <w:sz w:val="18"/>
              </w:rPr>
              <w:t>Orders from paid traffic</w:t>
            </w:r>
          </w:p>
        </w:tc>
        <w:tc>
          <w:tcPr>
            <w:tcW w:type="dxa" w:w="1824"/>
            <w:shd w:val="clear" w:color="auto" w:fill="FFFFFF"/>
          </w:tcPr>
          <w:p>
            <w:r>
              <w:rPr>
                <w:sz w:val="18"/>
              </w:rPr>
              <w:t>50 orders</w:t>
            </w:r>
          </w:p>
        </w:tc>
        <w:tc>
          <w:tcPr>
            <w:tcW w:type="dxa" w:w="1824"/>
            <w:shd w:val="clear" w:color="auto" w:fill="FFFFFF"/>
          </w:tcPr>
          <w:p>
            <w:r>
              <w:rPr>
                <w:sz w:val="18"/>
              </w:rPr>
              <w:t>Q1–Q2 2025</w:t>
            </w:r>
          </w:p>
        </w:tc>
      </w:tr>
      <w:tr>
        <w:tc>
          <w:tcPr>
            <w:tcW w:type="dxa" w:w="1824"/>
            <w:shd w:val="clear" w:color="auto" w:fill="F2F2F2"/>
          </w:tcPr>
          <w:p>
            <w:r>
              <w:rPr>
                <w:sz w:val="18"/>
              </w:rPr>
              <w:t>O3</w:t>
            </w:r>
          </w:p>
        </w:tc>
        <w:tc>
          <w:tcPr>
            <w:tcW w:type="dxa" w:w="1824"/>
            <w:shd w:val="clear" w:color="auto" w:fill="F2F2F2"/>
          </w:tcPr>
          <w:p>
            <w:r>
              <w:rPr>
                <w:sz w:val="18"/>
              </w:rPr>
              <w:t>Achieve positive ROAS</w:t>
            </w:r>
          </w:p>
        </w:tc>
        <w:tc>
          <w:tcPr>
            <w:tcW w:type="dxa" w:w="1824"/>
            <w:shd w:val="clear" w:color="auto" w:fill="F2F2F2"/>
          </w:tcPr>
          <w:p>
            <w:r>
              <w:rPr>
                <w:sz w:val="18"/>
              </w:rPr>
              <w:t>ROAS ≥ 2.5x</w:t>
            </w:r>
          </w:p>
        </w:tc>
        <w:tc>
          <w:tcPr>
            <w:tcW w:type="dxa" w:w="1824"/>
            <w:shd w:val="clear" w:color="auto" w:fill="F2F2F2"/>
          </w:tcPr>
          <w:p>
            <w:r>
              <w:rPr>
                <w:sz w:val="18"/>
              </w:rPr>
              <w:t>2.5x minimum</w:t>
            </w:r>
          </w:p>
        </w:tc>
        <w:tc>
          <w:tcPr>
            <w:tcW w:type="dxa" w:w="1824"/>
            <w:shd w:val="clear" w:color="auto" w:fill="F2F2F2"/>
          </w:tcPr>
          <w:p>
            <w:r>
              <w:rPr>
                <w:sz w:val="18"/>
              </w:rPr>
              <w:t>Q2 2025</w:t>
            </w:r>
          </w:p>
        </w:tc>
      </w:tr>
      <w:tr>
        <w:tc>
          <w:tcPr>
            <w:tcW w:type="dxa" w:w="1824"/>
            <w:shd w:val="clear" w:color="auto" w:fill="FFFFFF"/>
          </w:tcPr>
          <w:p>
            <w:r>
              <w:rPr>
                <w:sz w:val="18"/>
              </w:rPr>
              <w:t>O4</w:t>
            </w:r>
          </w:p>
        </w:tc>
        <w:tc>
          <w:tcPr>
            <w:tcW w:type="dxa" w:w="1824"/>
            <w:shd w:val="clear" w:color="auto" w:fill="FFFFFF"/>
          </w:tcPr>
          <w:p>
            <w:r>
              <w:rPr>
                <w:sz w:val="18"/>
              </w:rPr>
              <w:t>Build customer email list</w:t>
            </w:r>
          </w:p>
        </w:tc>
        <w:tc>
          <w:tcPr>
            <w:tcW w:type="dxa" w:w="1824"/>
            <w:shd w:val="clear" w:color="auto" w:fill="FFFFFF"/>
          </w:tcPr>
          <w:p>
            <w:r>
              <w:rPr>
                <w:sz w:val="18"/>
              </w:rPr>
              <w:t>Newsletter subscribers</w:t>
            </w:r>
          </w:p>
        </w:tc>
        <w:tc>
          <w:tcPr>
            <w:tcW w:type="dxa" w:w="1824"/>
            <w:shd w:val="clear" w:color="auto" w:fill="FFFFFF"/>
          </w:tcPr>
          <w:p>
            <w:r>
              <w:rPr>
                <w:sz w:val="18"/>
              </w:rPr>
              <w:t>200 subscribers</w:t>
            </w:r>
          </w:p>
        </w:tc>
        <w:tc>
          <w:tcPr>
            <w:tcW w:type="dxa" w:w="1824"/>
            <w:shd w:val="clear" w:color="auto" w:fill="FFFFFF"/>
          </w:tcPr>
          <w:p>
            <w:r>
              <w:rPr>
                <w:sz w:val="18"/>
              </w:rPr>
              <w:t>Q2 2025</w:t>
            </w:r>
          </w:p>
        </w:tc>
      </w:tr>
      <w:tr>
        <w:tc>
          <w:tcPr>
            <w:tcW w:type="dxa" w:w="1824"/>
            <w:shd w:val="clear" w:color="auto" w:fill="F2F2F2"/>
          </w:tcPr>
          <w:p>
            <w:r>
              <w:rPr>
                <w:sz w:val="18"/>
              </w:rPr>
              <w:t>O5</w:t>
            </w:r>
          </w:p>
        </w:tc>
        <w:tc>
          <w:tcPr>
            <w:tcW w:type="dxa" w:w="1824"/>
            <w:shd w:val="clear" w:color="auto" w:fill="F2F2F2"/>
          </w:tcPr>
          <w:p>
            <w:r>
              <w:rPr>
                <w:sz w:val="18"/>
              </w:rPr>
              <w:t>Reach GMV milestone</w:t>
            </w:r>
          </w:p>
        </w:tc>
        <w:tc>
          <w:tcPr>
            <w:tcW w:type="dxa" w:w="1824"/>
            <w:shd w:val="clear" w:color="auto" w:fill="F2F2F2"/>
          </w:tcPr>
          <w:p>
            <w:r>
              <w:rPr>
                <w:sz w:val="18"/>
              </w:rPr>
              <w:t>Total store revenue</w:t>
            </w:r>
          </w:p>
        </w:tc>
        <w:tc>
          <w:tcPr>
            <w:tcW w:type="dxa" w:w="1824"/>
            <w:shd w:val="clear" w:color="auto" w:fill="F2F2F2"/>
          </w:tcPr>
          <w:p>
            <w:r>
              <w:rPr>
                <w:sz w:val="18"/>
              </w:rPr>
              <w:t>RM 5,000</w:t>
            </w:r>
          </w:p>
        </w:tc>
        <w:tc>
          <w:tcPr>
            <w:tcW w:type="dxa" w:w="1824"/>
            <w:shd w:val="clear" w:color="auto" w:fill="F2F2F2"/>
          </w:tcPr>
          <w:p>
            <w:r>
              <w:rPr>
                <w:sz w:val="18"/>
              </w:rPr>
              <w:t>Q2 2025</w:t>
            </w:r>
          </w:p>
        </w:tc>
      </w:tr>
    </w:tbl>
    <w:p/>
    <w:p>
      <w:pPr>
        <w:pStyle w:val="Heading3"/>
        <w:jc w:val="left"/>
      </w:pPr>
      <w:r>
        <w:rPr>
          <w:color w:val="2E74B5"/>
        </w:rPr>
        <w:t>2.2 Promotional Calendar Q1–Q2 2025</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Pr>
                <w:b/>
                <w:color w:val="FFFFFF"/>
                <w:sz w:val="18"/>
              </w:rPr>
              <w:t>Period</w:t>
            </w:r>
          </w:p>
        </w:tc>
        <w:tc>
          <w:tcPr>
            <w:tcW w:type="dxa" w:w="1824"/>
            <w:shd w:val="clear" w:color="auto" w:fill="1F3864"/>
          </w:tcPr>
          <w:p>
            <w:pPr>
              <w:jc w:val="center"/>
            </w:pPr>
            <w:r>
              <w:rPr>
                <w:b/>
                <w:color w:val="FFFFFF"/>
                <w:sz w:val="18"/>
              </w:rPr>
              <w:t>Campaign</w:t>
            </w:r>
          </w:p>
        </w:tc>
        <w:tc>
          <w:tcPr>
            <w:tcW w:type="dxa" w:w="1824"/>
            <w:shd w:val="clear" w:color="auto" w:fill="1F3864"/>
          </w:tcPr>
          <w:p>
            <w:pPr>
              <w:jc w:val="center"/>
            </w:pPr>
            <w:r>
              <w:rPr>
                <w:b/>
                <w:color w:val="FFFFFF"/>
                <w:sz w:val="18"/>
              </w:rPr>
              <w:t>Offer</w:t>
            </w:r>
          </w:p>
        </w:tc>
        <w:tc>
          <w:tcPr>
            <w:tcW w:type="dxa" w:w="1824"/>
            <w:shd w:val="clear" w:color="auto" w:fill="1F3864"/>
          </w:tcPr>
          <w:p>
            <w:pPr>
              <w:jc w:val="center"/>
            </w:pPr>
            <w:r>
              <w:rPr>
                <w:b/>
                <w:color w:val="FFFFFF"/>
                <w:sz w:val="18"/>
              </w:rPr>
              <w:t>Budget</w:t>
            </w:r>
          </w:p>
        </w:tc>
        <w:tc>
          <w:tcPr>
            <w:tcW w:type="dxa" w:w="1824"/>
            <w:shd w:val="clear" w:color="auto" w:fill="1F3864"/>
          </w:tcPr>
          <w:p>
            <w:pPr>
              <w:jc w:val="center"/>
            </w:pPr>
            <w:r>
              <w:rPr>
                <w:b/>
                <w:color w:val="FFFFFF"/>
                <w:sz w:val="18"/>
              </w:rPr>
              <w:t>Expected GMV</w:t>
            </w:r>
          </w:p>
        </w:tc>
      </w:tr>
      <w:tr>
        <w:tc>
          <w:tcPr>
            <w:tcW w:type="dxa" w:w="1824"/>
            <w:shd w:val="clear" w:color="auto" w:fill="F2F2F2"/>
          </w:tcPr>
          <w:p>
            <w:r>
              <w:rPr>
                <w:sz w:val="18"/>
              </w:rPr>
              <w:t>Jan 2025</w:t>
            </w:r>
          </w:p>
        </w:tc>
        <w:tc>
          <w:tcPr>
            <w:tcW w:type="dxa" w:w="1824"/>
            <w:shd w:val="clear" w:color="auto" w:fill="F2F2F2"/>
          </w:tcPr>
          <w:p>
            <w:r>
              <w:rPr>
                <w:sz w:val="18"/>
              </w:rPr>
              <w:t>Store Launch</w:t>
            </w:r>
          </w:p>
        </w:tc>
        <w:tc>
          <w:tcPr>
            <w:tcW w:type="dxa" w:w="1824"/>
            <w:shd w:val="clear" w:color="auto" w:fill="F2F2F2"/>
          </w:tcPr>
          <w:p>
            <w:r>
              <w:rPr>
                <w:sz w:val="18"/>
              </w:rPr>
              <w:t>10% off first order (SBL10)</w:t>
            </w:r>
          </w:p>
        </w:tc>
        <w:tc>
          <w:tcPr>
            <w:tcW w:type="dxa" w:w="1824"/>
            <w:shd w:val="clear" w:color="auto" w:fill="F2F2F2"/>
          </w:tcPr>
          <w:p>
            <w:r>
              <w:rPr>
                <w:sz w:val="18"/>
              </w:rPr>
              <w:t>RM 300</w:t>
            </w:r>
          </w:p>
        </w:tc>
        <w:tc>
          <w:tcPr>
            <w:tcW w:type="dxa" w:w="1824"/>
            <w:shd w:val="clear" w:color="auto" w:fill="F2F2F2"/>
          </w:tcPr>
          <w:p>
            <w:r>
              <w:rPr>
                <w:sz w:val="18"/>
              </w:rPr>
              <w:t>RM 800</w:t>
            </w:r>
          </w:p>
        </w:tc>
      </w:tr>
      <w:tr>
        <w:tc>
          <w:tcPr>
            <w:tcW w:type="dxa" w:w="1824"/>
            <w:shd w:val="clear" w:color="auto" w:fill="FFFFFF"/>
          </w:tcPr>
          <w:p>
            <w:r>
              <w:rPr>
                <w:sz w:val="18"/>
              </w:rPr>
              <w:t>Feb 2025</w:t>
            </w:r>
          </w:p>
        </w:tc>
        <w:tc>
          <w:tcPr>
            <w:tcW w:type="dxa" w:w="1824"/>
            <w:shd w:val="clear" w:color="auto" w:fill="FFFFFF"/>
          </w:tcPr>
          <w:p>
            <w:r>
              <w:rPr>
                <w:sz w:val="18"/>
              </w:rPr>
              <w:t>CNY Limited Drop</w:t>
            </w:r>
          </w:p>
        </w:tc>
        <w:tc>
          <w:tcPr>
            <w:tcW w:type="dxa" w:w="1824"/>
            <w:shd w:val="clear" w:color="auto" w:fill="FFFFFF"/>
          </w:tcPr>
          <w:p>
            <w:r>
              <w:rPr>
                <w:sz w:val="18"/>
              </w:rPr>
              <w:t>Bundle deal (Tee + Mug)</w:t>
            </w:r>
          </w:p>
        </w:tc>
        <w:tc>
          <w:tcPr>
            <w:tcW w:type="dxa" w:w="1824"/>
            <w:shd w:val="clear" w:color="auto" w:fill="FFFFFF"/>
          </w:tcPr>
          <w:p>
            <w:r>
              <w:rPr>
                <w:sz w:val="18"/>
              </w:rPr>
              <w:t>RM 300</w:t>
            </w:r>
          </w:p>
        </w:tc>
        <w:tc>
          <w:tcPr>
            <w:tcW w:type="dxa" w:w="1824"/>
            <w:shd w:val="clear" w:color="auto" w:fill="FFFFFF"/>
          </w:tcPr>
          <w:p>
            <w:r>
              <w:rPr>
                <w:sz w:val="18"/>
              </w:rPr>
              <w:t>RM 1,000</w:t>
            </w:r>
          </w:p>
        </w:tc>
      </w:tr>
      <w:tr>
        <w:tc>
          <w:tcPr>
            <w:tcW w:type="dxa" w:w="1824"/>
            <w:shd w:val="clear" w:color="auto" w:fill="F2F2F2"/>
          </w:tcPr>
          <w:p>
            <w:r>
              <w:rPr>
                <w:sz w:val="18"/>
              </w:rPr>
              <w:t>Mar 2025</w:t>
            </w:r>
          </w:p>
        </w:tc>
        <w:tc>
          <w:tcPr>
            <w:tcW w:type="dxa" w:w="1824"/>
            <w:shd w:val="clear" w:color="auto" w:fill="F2F2F2"/>
          </w:tcPr>
          <w:p>
            <w:r>
              <w:rPr>
                <w:sz w:val="18"/>
              </w:rPr>
              <w:t>Everyday Essentials</w:t>
            </w:r>
          </w:p>
        </w:tc>
        <w:tc>
          <w:tcPr>
            <w:tcW w:type="dxa" w:w="1824"/>
            <w:shd w:val="clear" w:color="auto" w:fill="F2F2F2"/>
          </w:tcPr>
          <w:p>
            <w:r>
              <w:rPr>
                <w:sz w:val="18"/>
              </w:rPr>
              <w:t>Free shipping on RM 80+</w:t>
            </w:r>
          </w:p>
        </w:tc>
        <w:tc>
          <w:tcPr>
            <w:tcW w:type="dxa" w:w="1824"/>
            <w:shd w:val="clear" w:color="auto" w:fill="F2F2F2"/>
          </w:tcPr>
          <w:p>
            <w:r>
              <w:rPr>
                <w:sz w:val="18"/>
              </w:rPr>
              <w:t>RM 300</w:t>
            </w:r>
          </w:p>
        </w:tc>
        <w:tc>
          <w:tcPr>
            <w:tcW w:type="dxa" w:w="1824"/>
            <w:shd w:val="clear" w:color="auto" w:fill="F2F2F2"/>
          </w:tcPr>
          <w:p>
            <w:r>
              <w:rPr>
                <w:sz w:val="18"/>
              </w:rPr>
              <w:t>RM 900</w:t>
            </w:r>
          </w:p>
        </w:tc>
      </w:tr>
      <w:tr>
        <w:tc>
          <w:tcPr>
            <w:tcW w:type="dxa" w:w="1824"/>
            <w:shd w:val="clear" w:color="auto" w:fill="FFFFFF"/>
          </w:tcPr>
          <w:p>
            <w:r>
              <w:rPr>
                <w:sz w:val="18"/>
              </w:rPr>
              <w:t>Apr 2025</w:t>
            </w:r>
          </w:p>
        </w:tc>
        <w:tc>
          <w:tcPr>
            <w:tcW w:type="dxa" w:w="1824"/>
            <w:shd w:val="clear" w:color="auto" w:fill="FFFFFF"/>
          </w:tcPr>
          <w:p>
            <w:r>
              <w:rPr>
                <w:sz w:val="18"/>
              </w:rPr>
              <w:t>Hari Raya Gifting</w:t>
            </w:r>
          </w:p>
        </w:tc>
        <w:tc>
          <w:tcPr>
            <w:tcW w:type="dxa" w:w="1824"/>
            <w:shd w:val="clear" w:color="auto" w:fill="FFFFFF"/>
          </w:tcPr>
          <w:p>
            <w:r>
              <w:rPr>
                <w:sz w:val="18"/>
              </w:rPr>
              <w:t>Gift set promotion</w:t>
            </w:r>
          </w:p>
        </w:tc>
        <w:tc>
          <w:tcPr>
            <w:tcW w:type="dxa" w:w="1824"/>
            <w:shd w:val="clear" w:color="auto" w:fill="FFFFFF"/>
          </w:tcPr>
          <w:p>
            <w:r>
              <w:rPr>
                <w:sz w:val="18"/>
              </w:rPr>
              <w:t>RM 400</w:t>
            </w:r>
          </w:p>
        </w:tc>
        <w:tc>
          <w:tcPr>
            <w:tcW w:type="dxa" w:w="1824"/>
            <w:shd w:val="clear" w:color="auto" w:fill="FFFFFF"/>
          </w:tcPr>
          <w:p>
            <w:r>
              <w:rPr>
                <w:sz w:val="18"/>
              </w:rPr>
              <w:t>RM 1,500</w:t>
            </w:r>
          </w:p>
        </w:tc>
      </w:tr>
      <w:tr>
        <w:tc>
          <w:tcPr>
            <w:tcW w:type="dxa" w:w="1824"/>
            <w:shd w:val="clear" w:color="auto" w:fill="F2F2F2"/>
          </w:tcPr>
          <w:p>
            <w:r>
              <w:rPr>
                <w:sz w:val="18"/>
              </w:rPr>
              <w:t>May 2025</w:t>
            </w:r>
          </w:p>
        </w:tc>
        <w:tc>
          <w:tcPr>
            <w:tcW w:type="dxa" w:w="1824"/>
            <w:shd w:val="clear" w:color="auto" w:fill="F2F2F2"/>
          </w:tcPr>
          <w:p>
            <w:r>
              <w:rPr>
                <w:sz w:val="18"/>
              </w:rPr>
              <w:t>Clearance + Restock</w:t>
            </w:r>
          </w:p>
        </w:tc>
        <w:tc>
          <w:tcPr>
            <w:tcW w:type="dxa" w:w="1824"/>
            <w:shd w:val="clear" w:color="auto" w:fill="F2F2F2"/>
          </w:tcPr>
          <w:p>
            <w:r>
              <w:rPr>
                <w:sz w:val="18"/>
              </w:rPr>
              <w:t>Up to 20% off selected items</w:t>
            </w:r>
          </w:p>
        </w:tc>
        <w:tc>
          <w:tcPr>
            <w:tcW w:type="dxa" w:w="1824"/>
            <w:shd w:val="clear" w:color="auto" w:fill="F2F2F2"/>
          </w:tcPr>
          <w:p>
            <w:r>
              <w:rPr>
                <w:sz w:val="18"/>
              </w:rPr>
              <w:t>RM 200</w:t>
            </w:r>
          </w:p>
        </w:tc>
        <w:tc>
          <w:tcPr>
            <w:tcW w:type="dxa" w:w="1824"/>
            <w:shd w:val="clear" w:color="auto" w:fill="F2F2F2"/>
          </w:tcPr>
          <w:p>
            <w:r>
              <w:rPr>
                <w:sz w:val="18"/>
              </w:rPr>
              <w:t>RM 640</w:t>
            </w:r>
          </w:p>
        </w:tc>
      </w:tr>
      <w:tr>
        <w:tc>
          <w:tcPr>
            <w:tcW w:type="dxa" w:w="1824"/>
            <w:shd w:val="clear" w:color="auto" w:fill="FFFFFF"/>
          </w:tcPr>
          <w:p>
            <w:r>
              <w:rPr>
                <w:sz w:val="18"/>
              </w:rPr>
              <w:t>TOTAL</w:t>
            </w:r>
          </w:p>
        </w:tc>
        <w:tc>
          <w:tcPr>
            <w:tcW w:type="dxa" w:w="1824"/>
            <w:shd w:val="clear" w:color="auto" w:fill="FFFFFF"/>
          </w:tcPr>
          <w:p>
            <w:r>
              <w:rPr>
                <w:sz w:val="18"/>
              </w:rPr>
            </w:r>
          </w:p>
        </w:tc>
        <w:tc>
          <w:tcPr>
            <w:tcW w:type="dxa" w:w="1824"/>
            <w:shd w:val="clear" w:color="auto" w:fill="FFFFFF"/>
          </w:tcPr>
          <w:p>
            <w:r>
              <w:rPr>
                <w:sz w:val="18"/>
              </w:rPr>
            </w:r>
          </w:p>
        </w:tc>
        <w:tc>
          <w:tcPr>
            <w:tcW w:type="dxa" w:w="1824"/>
            <w:shd w:val="clear" w:color="auto" w:fill="FFFFFF"/>
          </w:tcPr>
          <w:p>
            <w:r>
              <w:rPr>
                <w:sz w:val="18"/>
              </w:rPr>
              <w:t>RM 1,500</w:t>
            </w:r>
          </w:p>
        </w:tc>
        <w:tc>
          <w:tcPr>
            <w:tcW w:type="dxa" w:w="1824"/>
            <w:shd w:val="clear" w:color="auto" w:fill="FFFFFF"/>
          </w:tcPr>
          <w:p>
            <w:r>
              <w:rPr>
                <w:sz w:val="18"/>
              </w:rPr>
              <w:t>RM 4,840</w:t>
            </w:r>
          </w:p>
        </w:tc>
      </w:tr>
    </w:tbl>
    <w:p/>
    <w:p>
      <w:pPr>
        <w:pStyle w:val="Heading3"/>
        <w:jc w:val="left"/>
      </w:pPr>
      <w:r>
        <w:rPr>
          <w:color w:val="2E74B5"/>
        </w:rPr>
        <w:t>2.3 Budget Allocation</w:t>
      </w:r>
    </w:p>
    <w:tbl>
      <w:tblPr>
        <w:tblStyle w:val="TableGrid"/>
        <w:tblW w:type="auto" w:w="0"/>
        <w:jc w:val="left"/>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3864"/>
          </w:tcPr>
          <w:p>
            <w:pPr>
              <w:jc w:val="center"/>
            </w:pPr>
            <w:r>
              <w:rPr>
                <w:b/>
                <w:color w:val="FFFFFF"/>
                <w:sz w:val="18"/>
              </w:rPr>
              <w:t>Cost Item</w:t>
            </w:r>
          </w:p>
        </w:tc>
        <w:tc>
          <w:tcPr>
            <w:tcW w:type="dxa" w:w="1303"/>
            <w:shd w:val="clear" w:color="auto" w:fill="1F3864"/>
          </w:tcPr>
          <w:p>
            <w:pPr>
              <w:jc w:val="center"/>
            </w:pPr>
            <w:r>
              <w:rPr>
                <w:b/>
                <w:color w:val="FFFFFF"/>
                <w:sz w:val="18"/>
              </w:rPr>
              <w:t>Jan</w:t>
            </w:r>
          </w:p>
        </w:tc>
        <w:tc>
          <w:tcPr>
            <w:tcW w:type="dxa" w:w="1303"/>
            <w:shd w:val="clear" w:color="auto" w:fill="1F3864"/>
          </w:tcPr>
          <w:p>
            <w:pPr>
              <w:jc w:val="center"/>
            </w:pPr>
            <w:r>
              <w:rPr>
                <w:b/>
                <w:color w:val="FFFFFF"/>
                <w:sz w:val="18"/>
              </w:rPr>
              <w:t>Feb</w:t>
            </w:r>
          </w:p>
        </w:tc>
        <w:tc>
          <w:tcPr>
            <w:tcW w:type="dxa" w:w="1303"/>
            <w:shd w:val="clear" w:color="auto" w:fill="1F3864"/>
          </w:tcPr>
          <w:p>
            <w:pPr>
              <w:jc w:val="center"/>
            </w:pPr>
            <w:r>
              <w:rPr>
                <w:b/>
                <w:color w:val="FFFFFF"/>
                <w:sz w:val="18"/>
              </w:rPr>
              <w:t>Mar</w:t>
            </w:r>
          </w:p>
        </w:tc>
        <w:tc>
          <w:tcPr>
            <w:tcW w:type="dxa" w:w="1303"/>
            <w:shd w:val="clear" w:color="auto" w:fill="1F3864"/>
          </w:tcPr>
          <w:p>
            <w:pPr>
              <w:jc w:val="center"/>
            </w:pPr>
            <w:r>
              <w:rPr>
                <w:b/>
                <w:color w:val="FFFFFF"/>
                <w:sz w:val="18"/>
              </w:rPr>
              <w:t>Apr</w:t>
            </w:r>
          </w:p>
        </w:tc>
        <w:tc>
          <w:tcPr>
            <w:tcW w:type="dxa" w:w="1303"/>
            <w:shd w:val="clear" w:color="auto" w:fill="1F3864"/>
          </w:tcPr>
          <w:p>
            <w:pPr>
              <w:jc w:val="center"/>
            </w:pPr>
            <w:r>
              <w:rPr>
                <w:b/>
                <w:color w:val="FFFFFF"/>
                <w:sz w:val="18"/>
              </w:rPr>
              <w:t>May</w:t>
            </w:r>
          </w:p>
        </w:tc>
        <w:tc>
          <w:tcPr>
            <w:tcW w:type="dxa" w:w="1303"/>
            <w:shd w:val="clear" w:color="auto" w:fill="1F3864"/>
          </w:tcPr>
          <w:p>
            <w:pPr>
              <w:jc w:val="center"/>
            </w:pPr>
            <w:r>
              <w:rPr>
                <w:b/>
                <w:color w:val="FFFFFF"/>
                <w:sz w:val="18"/>
              </w:rPr>
              <w:t>Total</w:t>
            </w:r>
          </w:p>
        </w:tc>
      </w:tr>
      <w:tr>
        <w:tc>
          <w:tcPr>
            <w:tcW w:type="dxa" w:w="1303"/>
            <w:shd w:val="clear" w:color="auto" w:fill="F2F2F2"/>
          </w:tcPr>
          <w:p>
            <w:r>
              <w:rPr>
                <w:sz w:val="18"/>
              </w:rPr>
              <w:t>Meta Ads spend</w:t>
            </w:r>
          </w:p>
        </w:tc>
        <w:tc>
          <w:tcPr>
            <w:tcW w:type="dxa" w:w="1303"/>
            <w:shd w:val="clear" w:color="auto" w:fill="F2F2F2"/>
          </w:tcPr>
          <w:p>
            <w:r>
              <w:rPr>
                <w:sz w:val="18"/>
              </w:rPr>
              <w:t>RM 300</w:t>
            </w:r>
          </w:p>
        </w:tc>
        <w:tc>
          <w:tcPr>
            <w:tcW w:type="dxa" w:w="1303"/>
            <w:shd w:val="clear" w:color="auto" w:fill="F2F2F2"/>
          </w:tcPr>
          <w:p>
            <w:r>
              <w:rPr>
                <w:sz w:val="18"/>
              </w:rPr>
              <w:t>RM 300</w:t>
            </w:r>
          </w:p>
        </w:tc>
        <w:tc>
          <w:tcPr>
            <w:tcW w:type="dxa" w:w="1303"/>
            <w:shd w:val="clear" w:color="auto" w:fill="F2F2F2"/>
          </w:tcPr>
          <w:p>
            <w:r>
              <w:rPr>
                <w:sz w:val="18"/>
              </w:rPr>
              <w:t>RM 300</w:t>
            </w:r>
          </w:p>
        </w:tc>
        <w:tc>
          <w:tcPr>
            <w:tcW w:type="dxa" w:w="1303"/>
            <w:shd w:val="clear" w:color="auto" w:fill="F2F2F2"/>
          </w:tcPr>
          <w:p>
            <w:r>
              <w:rPr>
                <w:sz w:val="18"/>
              </w:rPr>
              <w:t>RM 400</w:t>
            </w:r>
          </w:p>
        </w:tc>
        <w:tc>
          <w:tcPr>
            <w:tcW w:type="dxa" w:w="1303"/>
            <w:shd w:val="clear" w:color="auto" w:fill="F2F2F2"/>
          </w:tcPr>
          <w:p>
            <w:r>
              <w:rPr>
                <w:sz w:val="18"/>
              </w:rPr>
              <w:t>RM 200</w:t>
            </w:r>
          </w:p>
        </w:tc>
        <w:tc>
          <w:tcPr>
            <w:tcW w:type="dxa" w:w="1303"/>
            <w:shd w:val="clear" w:color="auto" w:fill="F2F2F2"/>
          </w:tcPr>
          <w:p>
            <w:r>
              <w:rPr>
                <w:sz w:val="18"/>
              </w:rPr>
              <w:t>RM 1,500</w:t>
            </w:r>
          </w:p>
        </w:tc>
      </w:tr>
      <w:tr>
        <w:tc>
          <w:tcPr>
            <w:tcW w:type="dxa" w:w="1303"/>
            <w:shd w:val="clear" w:color="auto" w:fill="FFFFFF"/>
          </w:tcPr>
          <w:p>
            <w:r>
              <w:rPr>
                <w:sz w:val="18"/>
              </w:rPr>
              <w:t>Product photography</w:t>
            </w:r>
          </w:p>
        </w:tc>
        <w:tc>
          <w:tcPr>
            <w:tcW w:type="dxa" w:w="1303"/>
            <w:shd w:val="clear" w:color="auto" w:fill="FFFFFF"/>
          </w:tcPr>
          <w:p>
            <w:r>
              <w:rPr>
                <w:sz w:val="18"/>
              </w:rPr>
              <w:t>RM 200</w:t>
            </w:r>
          </w:p>
        </w:tc>
        <w:tc>
          <w:tcPr>
            <w:tcW w:type="dxa" w:w="1303"/>
            <w:shd w:val="clear" w:color="auto" w:fill="FFFFFF"/>
          </w:tcPr>
          <w:p>
            <w:r>
              <w:rPr>
                <w:sz w:val="18"/>
              </w:rPr>
              <w:t>RM 0</w:t>
            </w:r>
          </w:p>
        </w:tc>
        <w:tc>
          <w:tcPr>
            <w:tcW w:type="dxa" w:w="1303"/>
            <w:shd w:val="clear" w:color="auto" w:fill="FFFFFF"/>
          </w:tcPr>
          <w:p>
            <w:r>
              <w:rPr>
                <w:sz w:val="18"/>
              </w:rPr>
              <w:t>RM 0</w:t>
            </w:r>
          </w:p>
        </w:tc>
        <w:tc>
          <w:tcPr>
            <w:tcW w:type="dxa" w:w="1303"/>
            <w:shd w:val="clear" w:color="auto" w:fill="FFFFFF"/>
          </w:tcPr>
          <w:p>
            <w:r>
              <w:rPr>
                <w:sz w:val="18"/>
              </w:rPr>
              <w:t>RM 100</w:t>
            </w:r>
          </w:p>
        </w:tc>
        <w:tc>
          <w:tcPr>
            <w:tcW w:type="dxa" w:w="1303"/>
            <w:shd w:val="clear" w:color="auto" w:fill="FFFFFF"/>
          </w:tcPr>
          <w:p>
            <w:r>
              <w:rPr>
                <w:sz w:val="18"/>
              </w:rPr>
              <w:t>RM 0</w:t>
            </w:r>
          </w:p>
        </w:tc>
        <w:tc>
          <w:tcPr>
            <w:tcW w:type="dxa" w:w="1303"/>
            <w:shd w:val="clear" w:color="auto" w:fill="FFFFFF"/>
          </w:tcPr>
          <w:p>
            <w:r>
              <w:rPr>
                <w:sz w:val="18"/>
              </w:rPr>
              <w:t>RM 300</w:t>
            </w:r>
          </w:p>
        </w:tc>
      </w:tr>
      <w:tr>
        <w:tc>
          <w:tcPr>
            <w:tcW w:type="dxa" w:w="1303"/>
            <w:shd w:val="clear" w:color="auto" w:fill="F2F2F2"/>
          </w:tcPr>
          <w:p>
            <w:r>
              <w:rPr>
                <w:sz w:val="18"/>
              </w:rPr>
              <w:t>Packaging materials</w:t>
            </w:r>
          </w:p>
        </w:tc>
        <w:tc>
          <w:tcPr>
            <w:tcW w:type="dxa" w:w="1303"/>
            <w:shd w:val="clear" w:color="auto" w:fill="F2F2F2"/>
          </w:tcPr>
          <w:p>
            <w:r>
              <w:rPr>
                <w:sz w:val="18"/>
              </w:rPr>
              <w:t>RM 150</w:t>
            </w:r>
          </w:p>
        </w:tc>
        <w:tc>
          <w:tcPr>
            <w:tcW w:type="dxa" w:w="1303"/>
            <w:shd w:val="clear" w:color="auto" w:fill="F2F2F2"/>
          </w:tcPr>
          <w:p>
            <w:r>
              <w:rPr>
                <w:sz w:val="18"/>
              </w:rPr>
              <w:t>RM 100</w:t>
            </w:r>
          </w:p>
        </w:tc>
        <w:tc>
          <w:tcPr>
            <w:tcW w:type="dxa" w:w="1303"/>
            <w:shd w:val="clear" w:color="auto" w:fill="F2F2F2"/>
          </w:tcPr>
          <w:p>
            <w:r>
              <w:rPr>
                <w:sz w:val="18"/>
              </w:rPr>
              <w:t>RM 100</w:t>
            </w:r>
          </w:p>
        </w:tc>
        <w:tc>
          <w:tcPr>
            <w:tcW w:type="dxa" w:w="1303"/>
            <w:shd w:val="clear" w:color="auto" w:fill="F2F2F2"/>
          </w:tcPr>
          <w:p>
            <w:r>
              <w:rPr>
                <w:sz w:val="18"/>
              </w:rPr>
              <w:t>RM 200</w:t>
            </w:r>
          </w:p>
        </w:tc>
        <w:tc>
          <w:tcPr>
            <w:tcW w:type="dxa" w:w="1303"/>
            <w:shd w:val="clear" w:color="auto" w:fill="F2F2F2"/>
          </w:tcPr>
          <w:p>
            <w:r>
              <w:rPr>
                <w:sz w:val="18"/>
              </w:rPr>
              <w:t>RM 100</w:t>
            </w:r>
          </w:p>
        </w:tc>
        <w:tc>
          <w:tcPr>
            <w:tcW w:type="dxa" w:w="1303"/>
            <w:shd w:val="clear" w:color="auto" w:fill="F2F2F2"/>
          </w:tcPr>
          <w:p>
            <w:r>
              <w:rPr>
                <w:sz w:val="18"/>
              </w:rPr>
              <w:t>RM 650</w:t>
            </w:r>
          </w:p>
        </w:tc>
      </w:tr>
      <w:tr>
        <w:tc>
          <w:tcPr>
            <w:tcW w:type="dxa" w:w="1303"/>
            <w:shd w:val="clear" w:color="auto" w:fill="FFFFFF"/>
          </w:tcPr>
          <w:p>
            <w:r>
              <w:rPr>
                <w:sz w:val="18"/>
              </w:rPr>
              <w:t>Influencer/UGC</w:t>
            </w:r>
          </w:p>
        </w:tc>
        <w:tc>
          <w:tcPr>
            <w:tcW w:type="dxa" w:w="1303"/>
            <w:shd w:val="clear" w:color="auto" w:fill="FFFFFF"/>
          </w:tcPr>
          <w:p>
            <w:r>
              <w:rPr>
                <w:sz w:val="18"/>
              </w:rPr>
              <w:t>RM 0</w:t>
            </w:r>
          </w:p>
        </w:tc>
        <w:tc>
          <w:tcPr>
            <w:tcW w:type="dxa" w:w="1303"/>
            <w:shd w:val="clear" w:color="auto" w:fill="FFFFFF"/>
          </w:tcPr>
          <w:p>
            <w:r>
              <w:rPr>
                <w:sz w:val="18"/>
              </w:rPr>
              <w:t>RM 150</w:t>
            </w:r>
          </w:p>
        </w:tc>
        <w:tc>
          <w:tcPr>
            <w:tcW w:type="dxa" w:w="1303"/>
            <w:shd w:val="clear" w:color="auto" w:fill="FFFFFF"/>
          </w:tcPr>
          <w:p>
            <w:r>
              <w:rPr>
                <w:sz w:val="18"/>
              </w:rPr>
              <w:t>RM 0</w:t>
            </w:r>
          </w:p>
        </w:tc>
        <w:tc>
          <w:tcPr>
            <w:tcW w:type="dxa" w:w="1303"/>
            <w:shd w:val="clear" w:color="auto" w:fill="FFFFFF"/>
          </w:tcPr>
          <w:p>
            <w:r>
              <w:rPr>
                <w:sz w:val="18"/>
              </w:rPr>
              <w:t>RM 200</w:t>
            </w:r>
          </w:p>
        </w:tc>
        <w:tc>
          <w:tcPr>
            <w:tcW w:type="dxa" w:w="1303"/>
            <w:shd w:val="clear" w:color="auto" w:fill="FFFFFF"/>
          </w:tcPr>
          <w:p>
            <w:r>
              <w:rPr>
                <w:sz w:val="18"/>
              </w:rPr>
              <w:t>RM 0</w:t>
            </w:r>
          </w:p>
        </w:tc>
        <w:tc>
          <w:tcPr>
            <w:tcW w:type="dxa" w:w="1303"/>
            <w:shd w:val="clear" w:color="auto" w:fill="FFFFFF"/>
          </w:tcPr>
          <w:p>
            <w:r>
              <w:rPr>
                <w:sz w:val="18"/>
              </w:rPr>
              <w:t>RM 350</w:t>
            </w:r>
          </w:p>
        </w:tc>
      </w:tr>
      <w:tr>
        <w:tc>
          <w:tcPr>
            <w:tcW w:type="dxa" w:w="1303"/>
            <w:shd w:val="clear" w:color="auto" w:fill="F2F2F2"/>
          </w:tcPr>
          <w:p>
            <w:r>
              <w:rPr>
                <w:sz w:val="18"/>
              </w:rPr>
              <w:t>Miscellaneous</w:t>
            </w:r>
          </w:p>
        </w:tc>
        <w:tc>
          <w:tcPr>
            <w:tcW w:type="dxa" w:w="1303"/>
            <w:shd w:val="clear" w:color="auto" w:fill="F2F2F2"/>
          </w:tcPr>
          <w:p>
            <w:r>
              <w:rPr>
                <w:sz w:val="18"/>
              </w:rPr>
              <w:t>RM 50</w:t>
            </w:r>
          </w:p>
        </w:tc>
        <w:tc>
          <w:tcPr>
            <w:tcW w:type="dxa" w:w="1303"/>
            <w:shd w:val="clear" w:color="auto" w:fill="F2F2F2"/>
          </w:tcPr>
          <w:p>
            <w:r>
              <w:rPr>
                <w:sz w:val="18"/>
              </w:rPr>
              <w:t>RM 50</w:t>
            </w:r>
          </w:p>
        </w:tc>
        <w:tc>
          <w:tcPr>
            <w:tcW w:type="dxa" w:w="1303"/>
            <w:shd w:val="clear" w:color="auto" w:fill="F2F2F2"/>
          </w:tcPr>
          <w:p>
            <w:r>
              <w:rPr>
                <w:sz w:val="18"/>
              </w:rPr>
              <w:t>RM 50</w:t>
            </w:r>
          </w:p>
        </w:tc>
        <w:tc>
          <w:tcPr>
            <w:tcW w:type="dxa" w:w="1303"/>
            <w:shd w:val="clear" w:color="auto" w:fill="F2F2F2"/>
          </w:tcPr>
          <w:p>
            <w:r>
              <w:rPr>
                <w:sz w:val="18"/>
              </w:rPr>
              <w:t>RM 50</w:t>
            </w:r>
          </w:p>
        </w:tc>
        <w:tc>
          <w:tcPr>
            <w:tcW w:type="dxa" w:w="1303"/>
            <w:shd w:val="clear" w:color="auto" w:fill="F2F2F2"/>
          </w:tcPr>
          <w:p>
            <w:r>
              <w:rPr>
                <w:sz w:val="18"/>
              </w:rPr>
              <w:t>RM 50</w:t>
            </w:r>
          </w:p>
        </w:tc>
        <w:tc>
          <w:tcPr>
            <w:tcW w:type="dxa" w:w="1303"/>
            <w:shd w:val="clear" w:color="auto" w:fill="F2F2F2"/>
          </w:tcPr>
          <w:p>
            <w:r>
              <w:rPr>
                <w:sz w:val="18"/>
              </w:rPr>
              <w:t>RM 250</w:t>
            </w:r>
          </w:p>
        </w:tc>
      </w:tr>
      <w:tr>
        <w:tc>
          <w:tcPr>
            <w:tcW w:type="dxa" w:w="1303"/>
            <w:shd w:val="clear" w:color="auto" w:fill="FFFFFF"/>
          </w:tcPr>
          <w:p>
            <w:r>
              <w:rPr>
                <w:sz w:val="18"/>
              </w:rPr>
              <w:t>Monthly Total</w:t>
            </w:r>
          </w:p>
        </w:tc>
        <w:tc>
          <w:tcPr>
            <w:tcW w:type="dxa" w:w="1303"/>
            <w:shd w:val="clear" w:color="auto" w:fill="FFFFFF"/>
          </w:tcPr>
          <w:p>
            <w:r>
              <w:rPr>
                <w:sz w:val="18"/>
              </w:rPr>
              <w:t>RM 700</w:t>
            </w:r>
          </w:p>
        </w:tc>
        <w:tc>
          <w:tcPr>
            <w:tcW w:type="dxa" w:w="1303"/>
            <w:shd w:val="clear" w:color="auto" w:fill="FFFFFF"/>
          </w:tcPr>
          <w:p>
            <w:r>
              <w:rPr>
                <w:sz w:val="18"/>
              </w:rPr>
              <w:t>RM 600</w:t>
            </w:r>
          </w:p>
        </w:tc>
        <w:tc>
          <w:tcPr>
            <w:tcW w:type="dxa" w:w="1303"/>
            <w:shd w:val="clear" w:color="auto" w:fill="FFFFFF"/>
          </w:tcPr>
          <w:p>
            <w:r>
              <w:rPr>
                <w:sz w:val="18"/>
              </w:rPr>
              <w:t>RM 450</w:t>
            </w:r>
          </w:p>
        </w:tc>
        <w:tc>
          <w:tcPr>
            <w:tcW w:type="dxa" w:w="1303"/>
            <w:shd w:val="clear" w:color="auto" w:fill="FFFFFF"/>
          </w:tcPr>
          <w:p>
            <w:r>
              <w:rPr>
                <w:sz w:val="18"/>
              </w:rPr>
              <w:t>RM 950</w:t>
            </w:r>
          </w:p>
        </w:tc>
        <w:tc>
          <w:tcPr>
            <w:tcW w:type="dxa" w:w="1303"/>
            <w:shd w:val="clear" w:color="auto" w:fill="FFFFFF"/>
          </w:tcPr>
          <w:p>
            <w:r>
              <w:rPr>
                <w:sz w:val="18"/>
              </w:rPr>
              <w:t>RM 350</w:t>
            </w:r>
          </w:p>
        </w:tc>
        <w:tc>
          <w:tcPr>
            <w:tcW w:type="dxa" w:w="1303"/>
            <w:shd w:val="clear" w:color="auto" w:fill="FFFFFF"/>
          </w:tcPr>
          <w:p>
            <w:r>
              <w:rPr>
                <w:sz w:val="18"/>
              </w:rPr>
              <w:t>RM 3,050</w:t>
            </w:r>
          </w:p>
        </w:tc>
      </w:tr>
    </w:tbl>
    <w:p/>
    <w:p>
      <w:pPr>
        <w:pStyle w:val="Heading3"/>
        <w:jc w:val="left"/>
      </w:pPr>
      <w:r>
        <w:rPr>
          <w:color w:val="2E74B5"/>
        </w:rPr>
        <w:t>2.4 Task Delegation Table</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18"/>
              </w:rPr>
              <w:t>Task</w:t>
            </w:r>
          </w:p>
        </w:tc>
        <w:tc>
          <w:tcPr>
            <w:tcW w:type="dxa" w:w="2280"/>
            <w:shd w:val="clear" w:color="auto" w:fill="1F3864"/>
          </w:tcPr>
          <w:p>
            <w:pPr>
              <w:jc w:val="center"/>
            </w:pPr>
            <w:r>
              <w:rPr>
                <w:b/>
                <w:color w:val="FFFFFF"/>
                <w:sz w:val="18"/>
              </w:rPr>
              <w:t>Responsible</w:t>
            </w:r>
          </w:p>
        </w:tc>
        <w:tc>
          <w:tcPr>
            <w:tcW w:type="dxa" w:w="2280"/>
            <w:shd w:val="clear" w:color="auto" w:fill="1F3864"/>
          </w:tcPr>
          <w:p>
            <w:pPr>
              <w:jc w:val="center"/>
            </w:pPr>
            <w:r>
              <w:rPr>
                <w:b/>
                <w:color w:val="FFFFFF"/>
                <w:sz w:val="18"/>
              </w:rPr>
              <w:t>Frequency</w:t>
            </w:r>
          </w:p>
        </w:tc>
        <w:tc>
          <w:tcPr>
            <w:tcW w:type="dxa" w:w="2280"/>
            <w:shd w:val="clear" w:color="auto" w:fill="1F3864"/>
          </w:tcPr>
          <w:p>
            <w:pPr>
              <w:jc w:val="center"/>
            </w:pPr>
            <w:r>
              <w:rPr>
                <w:b/>
                <w:color w:val="FFFFFF"/>
                <w:sz w:val="18"/>
              </w:rPr>
              <w:t>Reporting to</w:t>
            </w:r>
          </w:p>
        </w:tc>
      </w:tr>
      <w:tr>
        <w:tc>
          <w:tcPr>
            <w:tcW w:type="dxa" w:w="2280"/>
            <w:shd w:val="clear" w:color="auto" w:fill="F2F2F2"/>
          </w:tcPr>
          <w:p>
            <w:r>
              <w:rPr>
                <w:sz w:val="18"/>
              </w:rPr>
              <w:t>Overall strategy &amp; budget approval</w:t>
            </w:r>
          </w:p>
        </w:tc>
        <w:tc>
          <w:tcPr>
            <w:tcW w:type="dxa" w:w="2280"/>
            <w:shd w:val="clear" w:color="auto" w:fill="F2F2F2"/>
          </w:tcPr>
          <w:p>
            <w:r>
              <w:rPr>
                <w:sz w:val="18"/>
              </w:rPr>
              <w:t>Zuriel Seong (Manager)</w:t>
            </w:r>
          </w:p>
        </w:tc>
        <w:tc>
          <w:tcPr>
            <w:tcW w:type="dxa" w:w="2280"/>
            <w:shd w:val="clear" w:color="auto" w:fill="F2F2F2"/>
          </w:tcPr>
          <w:p>
            <w:r>
              <w:rPr>
                <w:sz w:val="18"/>
              </w:rPr>
              <w:t>Monthly</w:t>
            </w:r>
          </w:p>
        </w:tc>
        <w:tc>
          <w:tcPr>
            <w:tcW w:type="dxa" w:w="2280"/>
            <w:shd w:val="clear" w:color="auto" w:fill="F2F2F2"/>
          </w:tcPr>
          <w:p>
            <w:r>
              <w:rPr>
                <w:sz w:val="18"/>
              </w:rPr>
              <w:t>Self/Owner</w:t>
            </w:r>
          </w:p>
        </w:tc>
      </w:tr>
      <w:tr>
        <w:tc>
          <w:tcPr>
            <w:tcW w:type="dxa" w:w="2280"/>
            <w:shd w:val="clear" w:color="auto" w:fill="FFFFFF"/>
          </w:tcPr>
          <w:p>
            <w:r>
              <w:rPr>
                <w:sz w:val="18"/>
              </w:rPr>
              <w:t>Meta Ads campaign management</w:t>
            </w:r>
          </w:p>
        </w:tc>
        <w:tc>
          <w:tcPr>
            <w:tcW w:type="dxa" w:w="2280"/>
            <w:shd w:val="clear" w:color="auto" w:fill="FFFFFF"/>
          </w:tcPr>
          <w:p>
            <w:r>
              <w:rPr>
                <w:sz w:val="18"/>
              </w:rPr>
              <w:t>Zuriel Seong</w:t>
            </w:r>
          </w:p>
        </w:tc>
        <w:tc>
          <w:tcPr>
            <w:tcW w:type="dxa" w:w="2280"/>
            <w:shd w:val="clear" w:color="auto" w:fill="FFFFFF"/>
          </w:tcPr>
          <w:p>
            <w:r>
              <w:rPr>
                <w:sz w:val="18"/>
              </w:rPr>
              <w:t>Weekly</w:t>
            </w:r>
          </w:p>
        </w:tc>
        <w:tc>
          <w:tcPr>
            <w:tcW w:type="dxa" w:w="2280"/>
            <w:shd w:val="clear" w:color="auto" w:fill="FFFFFF"/>
          </w:tcPr>
          <w:p>
            <w:r>
              <w:rPr>
                <w:sz w:val="18"/>
              </w:rPr>
              <w:t>—</w:t>
            </w:r>
          </w:p>
        </w:tc>
      </w:tr>
      <w:tr>
        <w:tc>
          <w:tcPr>
            <w:tcW w:type="dxa" w:w="2280"/>
            <w:shd w:val="clear" w:color="auto" w:fill="F2F2F2"/>
          </w:tcPr>
          <w:p>
            <w:r>
              <w:rPr>
                <w:sz w:val="18"/>
              </w:rPr>
              <w:t>Product photography &amp; content</w:t>
            </w:r>
          </w:p>
        </w:tc>
        <w:tc>
          <w:tcPr>
            <w:tcW w:type="dxa" w:w="2280"/>
            <w:shd w:val="clear" w:color="auto" w:fill="F2F2F2"/>
          </w:tcPr>
          <w:p>
            <w:r>
              <w:rPr>
                <w:sz w:val="18"/>
              </w:rPr>
              <w:t>Nadiah (Creative)</w:t>
            </w:r>
          </w:p>
        </w:tc>
        <w:tc>
          <w:tcPr>
            <w:tcW w:type="dxa" w:w="2280"/>
            <w:shd w:val="clear" w:color="auto" w:fill="F2F2F2"/>
          </w:tcPr>
          <w:p>
            <w:r>
              <w:rPr>
                <w:sz w:val="18"/>
              </w:rPr>
              <w:t>Per drop</w:t>
            </w:r>
          </w:p>
        </w:tc>
        <w:tc>
          <w:tcPr>
            <w:tcW w:type="dxa" w:w="2280"/>
            <w:shd w:val="clear" w:color="auto" w:fill="F2F2F2"/>
          </w:tcPr>
          <w:p>
            <w:r>
              <w:rPr>
                <w:sz w:val="18"/>
              </w:rPr>
              <w:t>Zuriel</w:t>
            </w:r>
          </w:p>
        </w:tc>
      </w:tr>
      <w:tr>
        <w:tc>
          <w:tcPr>
            <w:tcW w:type="dxa" w:w="2280"/>
            <w:shd w:val="clear" w:color="auto" w:fill="FFFFFF"/>
          </w:tcPr>
          <w:p>
            <w:r>
              <w:rPr>
                <w:sz w:val="18"/>
              </w:rPr>
              <w:t>Order processing &amp; packing</w:t>
            </w:r>
          </w:p>
        </w:tc>
        <w:tc>
          <w:tcPr>
            <w:tcW w:type="dxa" w:w="2280"/>
            <w:shd w:val="clear" w:color="auto" w:fill="FFFFFF"/>
          </w:tcPr>
          <w:p>
            <w:r>
              <w:rPr>
                <w:sz w:val="18"/>
              </w:rPr>
              <w:t>Qis (Operations)</w:t>
            </w:r>
          </w:p>
        </w:tc>
        <w:tc>
          <w:tcPr>
            <w:tcW w:type="dxa" w:w="2280"/>
            <w:shd w:val="clear" w:color="auto" w:fill="FFFFFF"/>
          </w:tcPr>
          <w:p>
            <w:r>
              <w:rPr>
                <w:sz w:val="18"/>
              </w:rPr>
              <w:t>Daily</w:t>
            </w:r>
          </w:p>
        </w:tc>
        <w:tc>
          <w:tcPr>
            <w:tcW w:type="dxa" w:w="2280"/>
            <w:shd w:val="clear" w:color="auto" w:fill="FFFFFF"/>
          </w:tcPr>
          <w:p>
            <w:r>
              <w:rPr>
                <w:sz w:val="18"/>
              </w:rPr>
              <w:t>Zuriel</w:t>
            </w:r>
          </w:p>
        </w:tc>
      </w:tr>
      <w:tr>
        <w:tc>
          <w:tcPr>
            <w:tcW w:type="dxa" w:w="2280"/>
            <w:shd w:val="clear" w:color="auto" w:fill="F2F2F2"/>
          </w:tcPr>
          <w:p>
            <w:r>
              <w:rPr>
                <w:sz w:val="18"/>
              </w:rPr>
              <w:t>Customer service (DM/WhatsApp)</w:t>
            </w:r>
          </w:p>
        </w:tc>
        <w:tc>
          <w:tcPr>
            <w:tcW w:type="dxa" w:w="2280"/>
            <w:shd w:val="clear" w:color="auto" w:fill="F2F2F2"/>
          </w:tcPr>
          <w:p>
            <w:r>
              <w:rPr>
                <w:sz w:val="18"/>
              </w:rPr>
              <w:t>Iqa (Support)</w:t>
            </w:r>
          </w:p>
        </w:tc>
        <w:tc>
          <w:tcPr>
            <w:tcW w:type="dxa" w:w="2280"/>
            <w:shd w:val="clear" w:color="auto" w:fill="F2F2F2"/>
          </w:tcPr>
          <w:p>
            <w:r>
              <w:rPr>
                <w:sz w:val="18"/>
              </w:rPr>
              <w:t>Daily</w:t>
            </w:r>
          </w:p>
        </w:tc>
        <w:tc>
          <w:tcPr>
            <w:tcW w:type="dxa" w:w="2280"/>
            <w:shd w:val="clear" w:color="auto" w:fill="F2F2F2"/>
          </w:tcPr>
          <w:p>
            <w:r>
              <w:rPr>
                <w:sz w:val="18"/>
              </w:rPr>
              <w:t>Zuriel</w:t>
            </w:r>
          </w:p>
        </w:tc>
      </w:tr>
      <w:tr>
        <w:tc>
          <w:tcPr>
            <w:tcW w:type="dxa" w:w="2280"/>
            <w:shd w:val="clear" w:color="auto" w:fill="FFFFFF"/>
          </w:tcPr>
          <w:p>
            <w:r>
              <w:rPr>
                <w:sz w:val="18"/>
              </w:rPr>
              <w:t>Newsletter &amp; email</w:t>
            </w:r>
          </w:p>
        </w:tc>
        <w:tc>
          <w:tcPr>
            <w:tcW w:type="dxa" w:w="2280"/>
            <w:shd w:val="clear" w:color="auto" w:fill="FFFFFF"/>
          </w:tcPr>
          <w:p>
            <w:r>
              <w:rPr>
                <w:sz w:val="18"/>
              </w:rPr>
              <w:t>Zuriel Seong</w:t>
            </w:r>
          </w:p>
        </w:tc>
        <w:tc>
          <w:tcPr>
            <w:tcW w:type="dxa" w:w="2280"/>
            <w:shd w:val="clear" w:color="auto" w:fill="FFFFFF"/>
          </w:tcPr>
          <w:p>
            <w:r>
              <w:rPr>
                <w:sz w:val="18"/>
              </w:rPr>
              <w:t>Monthly</w:t>
            </w:r>
          </w:p>
        </w:tc>
        <w:tc>
          <w:tcPr>
            <w:tcW w:type="dxa" w:w="2280"/>
            <w:shd w:val="clear" w:color="auto" w:fill="FFFFFF"/>
          </w:tcPr>
          <w:p>
            <w:r>
              <w:rPr>
                <w:sz w:val="18"/>
              </w:rPr>
              <w:t>—</w:t>
            </w:r>
          </w:p>
        </w:tc>
      </w:tr>
      <w:tr>
        <w:tc>
          <w:tcPr>
            <w:tcW w:type="dxa" w:w="2280"/>
            <w:shd w:val="clear" w:color="auto" w:fill="F2F2F2"/>
          </w:tcPr>
          <w:p>
            <w:r>
              <w:rPr>
                <w:sz w:val="18"/>
              </w:rPr>
              <w:t>Analytics reporting</w:t>
            </w:r>
          </w:p>
        </w:tc>
        <w:tc>
          <w:tcPr>
            <w:tcW w:type="dxa" w:w="2280"/>
            <w:shd w:val="clear" w:color="auto" w:fill="F2F2F2"/>
          </w:tcPr>
          <w:p>
            <w:r>
              <w:rPr>
                <w:sz w:val="18"/>
              </w:rPr>
              <w:t>Zuriel Seong</w:t>
            </w:r>
          </w:p>
        </w:tc>
        <w:tc>
          <w:tcPr>
            <w:tcW w:type="dxa" w:w="2280"/>
            <w:shd w:val="clear" w:color="auto" w:fill="F2F2F2"/>
          </w:tcPr>
          <w:p>
            <w:r>
              <w:rPr>
                <w:sz w:val="18"/>
              </w:rPr>
              <w:t>Weekly</w:t>
            </w:r>
          </w:p>
        </w:tc>
        <w:tc>
          <w:tcPr>
            <w:tcW w:type="dxa" w:w="2280"/>
            <w:shd w:val="clear" w:color="auto" w:fill="F2F2F2"/>
          </w:tcPr>
          <w:p>
            <w:r>
              <w:rPr>
                <w:sz w:val="18"/>
              </w:rPr>
              <w:t>—</w:t>
            </w:r>
          </w:p>
        </w:tc>
      </w:tr>
    </w:tbl>
    <w:p/>
    <w:p>
      <w:pPr>
        <w:pStyle w:val="Heading3"/>
        <w:jc w:val="left"/>
      </w:pPr>
      <w:r>
        <w:rPr>
          <w:color w:val="2E74B5"/>
        </w:rPr>
        <w:t>2.5 Risk Register</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18"/>
              </w:rPr>
              <w:t>Risk</w:t>
            </w:r>
          </w:p>
        </w:tc>
        <w:tc>
          <w:tcPr>
            <w:tcW w:type="dxa" w:w="2280"/>
            <w:shd w:val="clear" w:color="auto" w:fill="1F3864"/>
          </w:tcPr>
          <w:p>
            <w:pPr>
              <w:jc w:val="center"/>
            </w:pPr>
            <w:r>
              <w:rPr>
                <w:b/>
                <w:color w:val="FFFFFF"/>
                <w:sz w:val="18"/>
              </w:rPr>
              <w:t>Likelihood</w:t>
            </w:r>
          </w:p>
        </w:tc>
        <w:tc>
          <w:tcPr>
            <w:tcW w:type="dxa" w:w="2280"/>
            <w:shd w:val="clear" w:color="auto" w:fill="1F3864"/>
          </w:tcPr>
          <w:p>
            <w:pPr>
              <w:jc w:val="center"/>
            </w:pPr>
            <w:r>
              <w:rPr>
                <w:b/>
                <w:color w:val="FFFFFF"/>
                <w:sz w:val="18"/>
              </w:rPr>
              <w:t>Impact</w:t>
            </w:r>
          </w:p>
        </w:tc>
        <w:tc>
          <w:tcPr>
            <w:tcW w:type="dxa" w:w="2280"/>
            <w:shd w:val="clear" w:color="auto" w:fill="1F3864"/>
          </w:tcPr>
          <w:p>
            <w:pPr>
              <w:jc w:val="center"/>
            </w:pPr>
            <w:r>
              <w:rPr>
                <w:b/>
                <w:color w:val="FFFFFF"/>
                <w:sz w:val="18"/>
              </w:rPr>
              <w:t>Mitigation</w:t>
            </w:r>
          </w:p>
        </w:tc>
      </w:tr>
      <w:tr>
        <w:tc>
          <w:tcPr>
            <w:tcW w:type="dxa" w:w="2280"/>
            <w:shd w:val="clear" w:color="auto" w:fill="F2F2F2"/>
          </w:tcPr>
          <w:p>
            <w:r>
              <w:rPr>
                <w:sz w:val="18"/>
              </w:rPr>
              <w:t>Low initial traffic (new domain)</w:t>
            </w:r>
          </w:p>
        </w:tc>
        <w:tc>
          <w:tcPr>
            <w:tcW w:type="dxa" w:w="2280"/>
            <w:shd w:val="clear" w:color="auto" w:fill="F2F2F2"/>
          </w:tcPr>
          <w:p>
            <w:r>
              <w:rPr>
                <w:sz w:val="18"/>
              </w:rPr>
              <w:t>High</w:t>
            </w:r>
          </w:p>
        </w:tc>
        <w:tc>
          <w:tcPr>
            <w:tcW w:type="dxa" w:w="2280"/>
            <w:shd w:val="clear" w:color="auto" w:fill="F2F2F2"/>
          </w:tcPr>
          <w:p>
            <w:r>
              <w:rPr>
                <w:sz w:val="18"/>
              </w:rPr>
              <w:t>Medium</w:t>
            </w:r>
          </w:p>
        </w:tc>
        <w:tc>
          <w:tcPr>
            <w:tcW w:type="dxa" w:w="2280"/>
            <w:shd w:val="clear" w:color="auto" w:fill="F2F2F2"/>
          </w:tcPr>
          <w:p>
            <w:r>
              <w:rPr>
                <w:sz w:val="18"/>
              </w:rPr>
              <w:t>Paid Meta Ads from Day 1 to seed traffic</w:t>
            </w:r>
          </w:p>
        </w:tc>
      </w:tr>
      <w:tr>
        <w:tc>
          <w:tcPr>
            <w:tcW w:type="dxa" w:w="2280"/>
            <w:shd w:val="clear" w:color="auto" w:fill="FFFFFF"/>
          </w:tcPr>
          <w:p>
            <w:r>
              <w:rPr>
                <w:sz w:val="18"/>
              </w:rPr>
              <w:t>Fulfilment delays</w:t>
            </w:r>
          </w:p>
        </w:tc>
        <w:tc>
          <w:tcPr>
            <w:tcW w:type="dxa" w:w="2280"/>
            <w:shd w:val="clear" w:color="auto" w:fill="FFFFFF"/>
          </w:tcPr>
          <w:p>
            <w:r>
              <w:rPr>
                <w:sz w:val="18"/>
              </w:rPr>
              <w:t>Medium</w:t>
            </w:r>
          </w:p>
        </w:tc>
        <w:tc>
          <w:tcPr>
            <w:tcW w:type="dxa" w:w="2280"/>
            <w:shd w:val="clear" w:color="auto" w:fill="FFFFFF"/>
          </w:tcPr>
          <w:p>
            <w:r>
              <w:rPr>
                <w:sz w:val="18"/>
              </w:rPr>
              <w:t>High</w:t>
            </w:r>
          </w:p>
        </w:tc>
        <w:tc>
          <w:tcPr>
            <w:tcW w:type="dxa" w:w="2280"/>
            <w:shd w:val="clear" w:color="auto" w:fill="FFFFFF"/>
          </w:tcPr>
          <w:p>
            <w:r>
              <w:rPr>
                <w:sz w:val="18"/>
              </w:rPr>
              <w:t>Batch fulfilment every 48hrs; proactive customer comms</w:t>
            </w:r>
          </w:p>
        </w:tc>
      </w:tr>
      <w:tr>
        <w:tc>
          <w:tcPr>
            <w:tcW w:type="dxa" w:w="2280"/>
            <w:shd w:val="clear" w:color="auto" w:fill="F2F2F2"/>
          </w:tcPr>
          <w:p>
            <w:r>
              <w:rPr>
                <w:sz w:val="18"/>
              </w:rPr>
              <w:t>Low conversion rate (&lt;2%)</w:t>
            </w:r>
          </w:p>
        </w:tc>
        <w:tc>
          <w:tcPr>
            <w:tcW w:type="dxa" w:w="2280"/>
            <w:shd w:val="clear" w:color="auto" w:fill="F2F2F2"/>
          </w:tcPr>
          <w:p>
            <w:r>
              <w:rPr>
                <w:sz w:val="18"/>
              </w:rPr>
              <w:t>Medium</w:t>
            </w:r>
          </w:p>
        </w:tc>
        <w:tc>
          <w:tcPr>
            <w:tcW w:type="dxa" w:w="2280"/>
            <w:shd w:val="clear" w:color="auto" w:fill="F2F2F2"/>
          </w:tcPr>
          <w:p>
            <w:r>
              <w:rPr>
                <w:sz w:val="18"/>
              </w:rPr>
              <w:t>High</w:t>
            </w:r>
          </w:p>
        </w:tc>
        <w:tc>
          <w:tcPr>
            <w:tcW w:type="dxa" w:w="2280"/>
            <w:shd w:val="clear" w:color="auto" w:fill="F2F2F2"/>
          </w:tcPr>
          <w:p>
            <w:r>
              <w:rPr>
                <w:sz w:val="18"/>
              </w:rPr>
              <w:t>A/B test promo code visibility and CTA buttons</w:t>
            </w:r>
          </w:p>
        </w:tc>
      </w:tr>
      <w:tr>
        <w:tc>
          <w:tcPr>
            <w:tcW w:type="dxa" w:w="2280"/>
            <w:shd w:val="clear" w:color="auto" w:fill="FFFFFF"/>
          </w:tcPr>
          <w:p>
            <w:r>
              <w:rPr>
                <w:sz w:val="18"/>
              </w:rPr>
              <w:t>Ad account suspended</w:t>
            </w:r>
          </w:p>
        </w:tc>
        <w:tc>
          <w:tcPr>
            <w:tcW w:type="dxa" w:w="2280"/>
            <w:shd w:val="clear" w:color="auto" w:fill="FFFFFF"/>
          </w:tcPr>
          <w:p>
            <w:r>
              <w:rPr>
                <w:sz w:val="18"/>
              </w:rPr>
              <w:t>Low</w:t>
            </w:r>
          </w:p>
        </w:tc>
        <w:tc>
          <w:tcPr>
            <w:tcW w:type="dxa" w:w="2280"/>
            <w:shd w:val="clear" w:color="auto" w:fill="FFFFFF"/>
          </w:tcPr>
          <w:p>
            <w:r>
              <w:rPr>
                <w:sz w:val="18"/>
              </w:rPr>
              <w:t>High</w:t>
            </w:r>
          </w:p>
        </w:tc>
        <w:tc>
          <w:tcPr>
            <w:tcW w:type="dxa" w:w="2280"/>
            <w:shd w:val="clear" w:color="auto" w:fill="FFFFFF"/>
          </w:tcPr>
          <w:p>
            <w:r>
              <w:rPr>
                <w:sz w:val="18"/>
              </w:rPr>
              <w:t>Keep backup ad account; comply with Meta policies</w:t>
            </w:r>
          </w:p>
        </w:tc>
      </w:tr>
      <w:tr>
        <w:tc>
          <w:tcPr>
            <w:tcW w:type="dxa" w:w="2280"/>
            <w:shd w:val="clear" w:color="auto" w:fill="F2F2F2"/>
          </w:tcPr>
          <w:p>
            <w:r>
              <w:rPr>
                <w:sz w:val="18"/>
              </w:rPr>
              <w:t>Product out of stock</w:t>
            </w:r>
          </w:p>
        </w:tc>
        <w:tc>
          <w:tcPr>
            <w:tcW w:type="dxa" w:w="2280"/>
            <w:shd w:val="clear" w:color="auto" w:fill="F2F2F2"/>
          </w:tcPr>
          <w:p>
            <w:r>
              <w:rPr>
                <w:sz w:val="18"/>
              </w:rPr>
              <w:t>Medium</w:t>
            </w:r>
          </w:p>
        </w:tc>
        <w:tc>
          <w:tcPr>
            <w:tcW w:type="dxa" w:w="2280"/>
            <w:shd w:val="clear" w:color="auto" w:fill="F2F2F2"/>
          </w:tcPr>
          <w:p>
            <w:r>
              <w:rPr>
                <w:sz w:val="18"/>
              </w:rPr>
              <w:t>Medium</w:t>
            </w:r>
          </w:p>
        </w:tc>
        <w:tc>
          <w:tcPr>
            <w:tcW w:type="dxa" w:w="2280"/>
            <w:shd w:val="clear" w:color="auto" w:fill="F2F2F2"/>
          </w:tcPr>
          <w:p>
            <w:r>
              <w:rPr>
                <w:sz w:val="18"/>
              </w:rPr>
              <w:t>Set reorder threshold; communicate via store banner</w:t>
            </w:r>
          </w:p>
        </w:tc>
      </w:tr>
    </w:tbl>
    <w:p/>
    <w:p/>
    <w:p>
      <w:pPr>
        <w:pStyle w:val="Heading2"/>
        <w:jc w:val="left"/>
      </w:pPr>
      <w:r>
        <w:rPr>
          <w:color w:val="C0392B"/>
        </w:rPr>
        <w:t>Approval Section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C0392B"/>
          </w:tcPr>
          <w:p>
            <w:pPr>
              <w:jc w:val="center"/>
            </w:pPr>
            <w:r>
              <w:rPr>
                <w:b/>
                <w:color w:val="FFFFFF"/>
                <w:sz w:val="18"/>
              </w:rPr>
              <w:t>Role</w:t>
            </w:r>
          </w:p>
        </w:tc>
        <w:tc>
          <w:tcPr>
            <w:tcW w:type="dxa" w:w="2280"/>
            <w:shd w:val="clear" w:color="auto" w:fill="C0392B"/>
          </w:tcPr>
          <w:p>
            <w:pPr>
              <w:jc w:val="center"/>
            </w:pPr>
            <w:r>
              <w:rPr>
                <w:b/>
                <w:color w:val="FFFFFF"/>
                <w:sz w:val="18"/>
              </w:rPr>
              <w:t>Name</w:t>
            </w:r>
          </w:p>
        </w:tc>
        <w:tc>
          <w:tcPr>
            <w:tcW w:type="dxa" w:w="2280"/>
            <w:shd w:val="clear" w:color="auto" w:fill="C0392B"/>
          </w:tcPr>
          <w:p>
            <w:pPr>
              <w:jc w:val="center"/>
            </w:pPr>
            <w:r>
              <w:rPr>
                <w:b/>
                <w:color w:val="FFFFFF"/>
                <w:sz w:val="18"/>
              </w:rPr>
              <w:t>Signature</w:t>
            </w:r>
          </w:p>
        </w:tc>
        <w:tc>
          <w:tcPr>
            <w:tcW w:type="dxa" w:w="2280"/>
            <w:shd w:val="clear" w:color="auto" w:fill="C0392B"/>
          </w:tcPr>
          <w:p>
            <w:pPr>
              <w:jc w:val="center"/>
            </w:pPr>
            <w:r>
              <w:rPr>
                <w:b/>
                <w:color w:val="FFFFFF"/>
                <w:sz w:val="18"/>
              </w:rPr>
              <w:t>Date</w:t>
            </w:r>
          </w:p>
        </w:tc>
      </w:tr>
      <w:tr>
        <w:tc>
          <w:tcPr>
            <w:tcW w:type="dxa" w:w="2280"/>
            <w:shd w:val="clear" w:color="auto" w:fill="F2F2F2"/>
          </w:tcPr>
          <w:p>
            <w:r>
              <w:rPr>
                <w:sz w:val="18"/>
              </w:rPr>
              <w:t>Prepared by</w:t>
            </w:r>
          </w:p>
        </w:tc>
        <w:tc>
          <w:tcPr>
            <w:tcW w:type="dxa" w:w="2280"/>
            <w:shd w:val="clear" w:color="auto" w:fill="F2F2F2"/>
          </w:tcPr>
          <w:p>
            <w:r>
              <w:rPr>
                <w:sz w:val="18"/>
              </w:rPr>
              <w:t>Zuriel Seong Ming Ee</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r>
        <w:tc>
          <w:tcPr>
            <w:tcW w:type="dxa" w:w="2280"/>
            <w:shd w:val="clear" w:color="auto" w:fill="FFFFFF"/>
          </w:tcPr>
          <w:p>
            <w:r>
              <w:rPr>
                <w:sz w:val="18"/>
              </w:rPr>
              <w:t>Reviewed by</w:t>
            </w:r>
          </w:p>
        </w:tc>
        <w:tc>
          <w:tcPr>
            <w:tcW w:type="dxa" w:w="2280"/>
            <w:shd w:val="clear" w:color="auto" w:fill="FFFFFF"/>
          </w:tcPr>
          <w:p>
            <w:r>
              <w:rPr>
                <w:sz w:val="18"/>
              </w:rPr>
              <w:t>[Supervisor Name]</w:t>
            </w:r>
          </w:p>
        </w:tc>
        <w:tc>
          <w:tcPr>
            <w:tcW w:type="dxa" w:w="2280"/>
            <w:shd w:val="clear" w:color="auto" w:fill="FFFFFF"/>
          </w:tcPr>
          <w:p>
            <w:r>
              <w:rPr>
                <w:sz w:val="18"/>
              </w:rPr>
              <w:t>___________________</w:t>
            </w:r>
          </w:p>
        </w:tc>
        <w:tc>
          <w:tcPr>
            <w:tcW w:type="dxa" w:w="2280"/>
            <w:shd w:val="clear" w:color="auto" w:fill="FFFFFF"/>
          </w:tcPr>
          <w:p>
            <w:r>
              <w:rPr>
                <w:sz w:val="18"/>
              </w:rPr>
              <w:t>___________</w:t>
            </w:r>
          </w:p>
        </w:tc>
      </w:tr>
      <w:tr>
        <w:tc>
          <w:tcPr>
            <w:tcW w:type="dxa" w:w="2280"/>
            <w:shd w:val="clear" w:color="auto" w:fill="F2F2F2"/>
          </w:tcPr>
          <w:p>
            <w:r>
              <w:rPr>
                <w:sz w:val="18"/>
              </w:rPr>
              <w:t>Approved by</w:t>
            </w:r>
          </w:p>
        </w:tc>
        <w:tc>
          <w:tcPr>
            <w:tcW w:type="dxa" w:w="2280"/>
            <w:shd w:val="clear" w:color="auto" w:fill="F2F2F2"/>
          </w:tcPr>
          <w:p>
            <w:r>
              <w:rPr>
                <w:sz w:val="18"/>
              </w:rPr>
              <w:t>Puan Wan Norizan Binti Wan Badaruzaman</w:t>
              <w:br/>
              <w:t>Koperasi WI</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