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CU6 — Email Marketing:</w:t>
        <w:br/>
        <w:t>Mailchimp Campaign Performance Report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TVETLIPIS-CU6-EMAIL-002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Kolej Islam Antarabangsa Kuala Lipis (KIAK) / TVET Lipis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</w:t>
      </w:r>
    </w:p>
    <w:p>
      <w:pPr>
        <w:spacing w:after="40"/>
      </w:pPr>
      <w:r>
        <w:rPr>
          <w:b/>
          <w:sz w:val="20"/>
        </w:rPr>
        <w:t xml:space="preserve">Report Period: </w:t>
      </w:r>
      <w:r>
        <w:rPr>
          <w:sz w:val="20"/>
        </w:rPr>
        <w:t>Q1 2025 (January – March 2025)</w:t>
      </w:r>
    </w:p>
    <w:p>
      <w:pPr>
        <w:spacing w:after="40"/>
      </w:pPr>
      <w:r>
        <w:rPr>
          <w:b/>
          <w:sz w:val="20"/>
        </w:rPr>
        <w:t xml:space="preserve">Platform: </w:t>
      </w:r>
      <w:r>
        <w:rPr>
          <w:sz w:val="20"/>
        </w:rPr>
        <w:t>Mailchimp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WA5 (Monitor &amp; Evaluate), WA6 (Optimise)</w:t>
      </w:r>
    </w:p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t>This report evaluates the performance of TVET Lipis's Mailchimp email marketing programme for Q1 2025. Results are benchmarked against Malaysian education-sector industry averages and global Mailchimp benchmarks. All primary KPIs exceeded targets in Q1 2025.</w:t>
      </w:r>
    </w:p>
    <w:p>
      <w:pPr>
        <w:pStyle w:val="Heading2"/>
        <w:jc w:val="left"/>
      </w:pPr>
      <w:r>
        <w:rPr>
          <w:color w:val="1F3864"/>
        </w:rPr>
        <w:t>2. Performance vs Industry Benchmark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TVET Lipis email performance vs Malaysian education industry averages</w:t>
      </w:r>
    </w:p>
    <w:p/>
    <w:p>
      <w:pPr>
        <w:pStyle w:val="Heading2"/>
        <w:jc w:val="left"/>
      </w:pPr>
      <w:r>
        <w:rPr>
          <w:color w:val="1F3864"/>
        </w:rPr>
        <w:t>3. Subscriber List Growth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03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Monthly new subscribers (bars) and cumulative total (line) — H1 2025</w:t>
      </w:r>
    </w:p>
    <w:p/>
    <w:p>
      <w:pPr>
        <w:pStyle w:val="Heading2"/>
        <w:jc w:val="left"/>
      </w:pPr>
      <w:r>
        <w:rPr>
          <w:color w:val="1F3864"/>
        </w:rPr>
        <w:t>4. Campaign Open Rate by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265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6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Open rate by email campaign vs industry average (22%). Welcome sequence drives highest engagement.</w:t>
      </w:r>
    </w:p>
    <w:p/>
    <w:p>
      <w:pPr>
        <w:pStyle w:val="Heading2"/>
        <w:jc w:val="left"/>
      </w:pPr>
      <w:r>
        <w:rPr>
          <w:color w:val="1F3864"/>
        </w:rPr>
        <w:t>5. Key Findings &amp; Optimisation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Insight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Welcome sequence open rate 58%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Highest engagement at start of relationship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Add product/service showcase in Email 1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Increase enquiry rate at welcome stage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Application deadline email 44% OR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Urgency messaging works well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Create scarcity-based subject lines for all deadline campaigns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Target 50%+ OR for deadline emails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Follow-up nurture only 31% OR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Audience fatigue after week 4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Reduce nurture frequency to bi-weekly; improve relevance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Target 38%+ OR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Subscriber growth slowed in Jun (22 new)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Initial campaign audience exhausted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Launch lead magnet: free programme guide PDF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Target 40+ new subscribers/month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Unsubscribe rate 0.3% (below industry)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Good content relevance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Maintain current content quality and frequency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Maintain &lt;0.5%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Lee Bee Chuan</w:t>
              <w:br/>
              <w:t>Managing Director</w:t>
              <w:br/>
              <w:t>Fokus Kiara Sdn Bhd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