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3864"/>
        </w:rPr>
        <w:t>CU7 — Online Reputation Management:</w:t>
        <w:br/>
        <w:t>Reputation Assessment Report</w:t>
      </w:r>
    </w:p>
    <w:p>
      <w:pPr>
        <w:spacing w:after="40"/>
      </w:pPr>
      <w:r>
        <w:rPr>
          <w:b/>
          <w:sz w:val="20"/>
        </w:rPr>
        <w:t xml:space="preserve">Ref: </w:t>
      </w:r>
      <w:r>
        <w:rPr>
          <w:sz w:val="20"/>
        </w:rPr>
        <w:t>COMBINED-CU7-REP-001</w:t>
      </w:r>
    </w:p>
    <w:p>
      <w:pPr>
        <w:spacing w:after="40"/>
      </w:pPr>
      <w:r>
        <w:rPr>
          <w:b/>
          <w:sz w:val="20"/>
        </w:rPr>
        <w:t xml:space="preserve">Organisations: </w:t>
      </w:r>
      <w:r>
        <w:rPr>
          <w:sz w:val="20"/>
        </w:rPr>
        <w:t>TVET Lipis (tvetlipis.my) + Superbowl Lipis (SBL Co)</w:t>
      </w:r>
    </w:p>
    <w:p>
      <w:pPr>
        <w:spacing w:after="40"/>
      </w:pPr>
      <w:r>
        <w:rPr>
          <w:b/>
          <w:sz w:val="20"/>
        </w:rPr>
        <w:t xml:space="preserve">Prepared by: </w:t>
      </w:r>
      <w:r>
        <w:rPr>
          <w:sz w:val="20"/>
        </w:rPr>
        <w:t>Zuriel Seong Ming Ee</w:t>
      </w:r>
    </w:p>
    <w:p>
      <w:pPr>
        <w:spacing w:after="40"/>
      </w:pPr>
      <w:r>
        <w:rPr>
          <w:b/>
          <w:sz w:val="20"/>
        </w:rPr>
        <w:t xml:space="preserve">Assessment Date: </w:t>
      </w:r>
      <w:r>
        <w:rPr>
          <w:sz w:val="20"/>
        </w:rPr>
        <w:t>January 2025</w:t>
      </w:r>
    </w:p>
    <w:p>
      <w:pPr>
        <w:spacing w:after="40"/>
      </w:pPr>
      <w:r>
        <w:rPr>
          <w:b/>
          <w:sz w:val="20"/>
        </w:rPr>
        <w:t xml:space="preserve">Work Activities Covered: </w:t>
      </w:r>
      <w:r>
        <w:rPr>
          <w:sz w:val="20"/>
        </w:rPr>
        <w:t>WA1 (Assess Online Reputation), WA2 (Plan Reputation Strategy)</w:t>
      </w:r>
    </w:p>
    <w:p>
      <w:pPr>
        <w:pStyle w:val="Heading2"/>
        <w:jc w:val="left"/>
      </w:pPr>
      <w:r>
        <w:rPr>
          <w:color w:val="1F3864"/>
        </w:rPr>
        <w:t>1. Strategic Purpose</w:t>
      </w:r>
    </w:p>
    <w:p>
      <w:r>
        <w:t>This assessment establishes the baseline online reputation status of both managed organisations as of January 2025. It identifies reputation gaps, scores sentiment across platforms, and provides the foundation for the Reputation Management Plan (COMBINED-CU7-REP-002). Reputation is treated as a managed business asset, not a passive outcome.</w:t>
      </w:r>
    </w:p>
    <w:p>
      <w:pPr>
        <w:pStyle w:val="Heading2"/>
        <w:jc w:val="left"/>
      </w:pPr>
      <w:r>
        <w:rPr>
          <w:color w:val="1F3864"/>
        </w:rPr>
        <w:t>2. Google Business Profile — Rating Comparison</w:t>
      </w:r>
    </w:p>
    <w:p>
      <w:pPr>
        <w:jc w:val="center"/>
      </w:pPr>
      <w:r>
        <w:drawing>
          <wp:inline xmlns:a="http://schemas.openxmlformats.org/drawingml/2006/main" xmlns:pic="http://schemas.openxmlformats.org/drawingml/2006/picture">
            <wp:extent cx="5029200" cy="279305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793055"/>
                    </a:xfrm>
                    <a:prstGeom prst="rect"/>
                  </pic:spPr>
                </pic:pic>
              </a:graphicData>
            </a:graphic>
          </wp:inline>
        </w:drawing>
      </w:r>
    </w:p>
    <w:p>
      <w:pPr>
        <w:jc w:val="center"/>
      </w:pPr>
      <w:r>
        <w:rPr>
          <w:i/>
          <w:sz w:val="18"/>
        </w:rPr>
        <w:t>Figure 1: Current vs target ratings on Google Business Profile. TVET Lipis at 3.2 requires urgent improvement.</w:t>
      </w:r>
    </w:p>
    <w:p/>
    <w:p>
      <w:pPr>
        <w:pStyle w:val="Heading2"/>
        <w:jc w:val="left"/>
      </w:pPr>
      <w:r>
        <w:rPr>
          <w:color w:val="1F3864"/>
        </w:rPr>
        <w:t>3. Review Volume &amp; Sentiment</w:t>
      </w:r>
    </w:p>
    <w:p>
      <w:pPr>
        <w:jc w:val="center"/>
      </w:pPr>
      <w:r>
        <w:drawing>
          <wp:inline xmlns:a="http://schemas.openxmlformats.org/drawingml/2006/main" xmlns:pic="http://schemas.openxmlformats.org/drawingml/2006/picture">
            <wp:extent cx="5029200" cy="24769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476900"/>
                    </a:xfrm>
                    <a:prstGeom prst="rect"/>
                  </pic:spPr>
                </pic:pic>
              </a:graphicData>
            </a:graphic>
          </wp:inline>
        </w:drawing>
      </w:r>
    </w:p>
    <w:p>
      <w:pPr>
        <w:jc w:val="center"/>
      </w:pPr>
      <w:r>
        <w:rPr>
          <w:i/>
          <w:sz w:val="18"/>
        </w:rPr>
        <w:t>Figure 2: Review volume comparison. SBL Co has significantly more reviews across all platforms.</w:t>
      </w:r>
    </w:p>
    <w:p/>
    <w:p>
      <w:pPr>
        <w:pStyle w:val="Heading2"/>
        <w:jc w:val="left"/>
      </w:pPr>
      <w:r>
        <w:rPr>
          <w:color w:val="1F3864"/>
        </w:rPr>
        <w:t>4. Sentiment Analysis — SBL Co (Sample 38 Google Reviews)</w:t>
      </w:r>
    </w:p>
    <w:p>
      <w:pPr>
        <w:jc w:val="center"/>
      </w:pPr>
      <w:r>
        <w:drawing>
          <wp:inline xmlns:a="http://schemas.openxmlformats.org/drawingml/2006/main" xmlns:pic="http://schemas.openxmlformats.org/drawingml/2006/picture">
            <wp:extent cx="5486400" cy="270479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04791"/>
                    </a:xfrm>
                    <a:prstGeom prst="rect"/>
                  </pic:spPr>
                </pic:pic>
              </a:graphicData>
            </a:graphic>
          </wp:inline>
        </w:drawing>
      </w:r>
    </w:p>
    <w:p>
      <w:pPr>
        <w:jc w:val="center"/>
      </w:pPr>
      <w:r>
        <w:rPr>
          <w:i/>
          <w:sz w:val="18"/>
        </w:rPr>
        <w:t>Figure 3: Sentiment distribution. TVET Lipis sample too small for reliable analysis — review generation is priority.</w:t>
      </w:r>
    </w:p>
    <w:p/>
    <w:p>
      <w:pPr>
        <w:pStyle w:val="Heading2"/>
        <w:jc w:val="left"/>
      </w:pPr>
      <w:r>
        <w:rPr>
          <w:color w:val="1F3864"/>
        </w:rPr>
        <w:t>5. Risk Matrix</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Pr>
          <w:p>
            <w:pPr>
              <w:jc w:val="center"/>
            </w:pPr>
            <w:r>
              <w:rPr>
                <w:b/>
                <w:color w:val="FFFFFF"/>
                <w:sz w:val="18"/>
              </w:rPr>
              <w:t>Risk</w:t>
            </w:r>
          </w:p>
        </w:tc>
        <w:tc>
          <w:tcPr>
            <w:tcW w:type="dxa" w:w="1520"/>
            <w:shd w:val="clear" w:color="auto" w:fill="1F3864"/>
          </w:tcPr>
          <w:p>
            <w:pPr>
              <w:jc w:val="center"/>
            </w:pPr>
            <w:r>
              <w:rPr>
                <w:b/>
                <w:color w:val="FFFFFF"/>
                <w:sz w:val="18"/>
              </w:rPr>
              <w:t>Organisation</w:t>
            </w:r>
          </w:p>
        </w:tc>
        <w:tc>
          <w:tcPr>
            <w:tcW w:type="dxa" w:w="1520"/>
            <w:shd w:val="clear" w:color="auto" w:fill="1F3864"/>
          </w:tcPr>
          <w:p>
            <w:pPr>
              <w:jc w:val="center"/>
            </w:pPr>
            <w:r>
              <w:rPr>
                <w:b/>
                <w:color w:val="FFFFFF"/>
                <w:sz w:val="18"/>
              </w:rPr>
              <w:t>Likelihood</w:t>
            </w:r>
          </w:p>
        </w:tc>
        <w:tc>
          <w:tcPr>
            <w:tcW w:type="dxa" w:w="1520"/>
            <w:shd w:val="clear" w:color="auto" w:fill="1F3864"/>
          </w:tcPr>
          <w:p>
            <w:pPr>
              <w:jc w:val="center"/>
            </w:pPr>
            <w:r>
              <w:rPr>
                <w:b/>
                <w:color w:val="FFFFFF"/>
                <w:sz w:val="18"/>
              </w:rPr>
              <w:t>Impact</w:t>
            </w:r>
          </w:p>
        </w:tc>
        <w:tc>
          <w:tcPr>
            <w:tcW w:type="dxa" w:w="1520"/>
            <w:shd w:val="clear" w:color="auto" w:fill="1F3864"/>
          </w:tcPr>
          <w:p>
            <w:pPr>
              <w:jc w:val="center"/>
            </w:pPr>
            <w:r>
              <w:rPr>
                <w:b/>
                <w:color w:val="FFFFFF"/>
                <w:sz w:val="18"/>
              </w:rPr>
              <w:t>Risk Score</w:t>
            </w:r>
          </w:p>
        </w:tc>
        <w:tc>
          <w:tcPr>
            <w:tcW w:type="dxa" w:w="1520"/>
            <w:shd w:val="clear" w:color="auto" w:fill="1F3864"/>
          </w:tcPr>
          <w:p>
            <w:pPr>
              <w:jc w:val="center"/>
            </w:pPr>
            <w:r>
              <w:rPr>
                <w:b/>
                <w:color w:val="FFFFFF"/>
                <w:sz w:val="18"/>
              </w:rPr>
              <w:t>Priority</w:t>
            </w:r>
          </w:p>
        </w:tc>
      </w:tr>
      <w:tr>
        <w:tc>
          <w:tcPr>
            <w:tcW w:type="dxa" w:w="1520"/>
            <w:shd w:val="clear" w:color="auto" w:fill="F2F2F2"/>
          </w:tcPr>
          <w:p>
            <w:r>
              <w:rPr>
                <w:sz w:val="18"/>
              </w:rPr>
              <w:t>Negative review without response</w:t>
            </w:r>
          </w:p>
        </w:tc>
        <w:tc>
          <w:tcPr>
            <w:tcW w:type="dxa" w:w="1520"/>
            <w:shd w:val="clear" w:color="auto" w:fill="F2F2F2"/>
          </w:tcPr>
          <w:p>
            <w:r>
              <w:rPr>
                <w:sz w:val="18"/>
              </w:rPr>
              <w:t>TVET Lipis</w:t>
            </w:r>
          </w:p>
        </w:tc>
        <w:tc>
          <w:tcPr>
            <w:tcW w:type="dxa" w:w="1520"/>
            <w:shd w:val="clear" w:color="auto" w:fill="F2F2F2"/>
          </w:tcPr>
          <w:p>
            <w:r>
              <w:rPr>
                <w:sz w:val="18"/>
              </w:rPr>
              <w:t>High</w:t>
            </w:r>
          </w:p>
        </w:tc>
        <w:tc>
          <w:tcPr>
            <w:tcW w:type="dxa" w:w="1520"/>
            <w:shd w:val="clear" w:color="auto" w:fill="F2F2F2"/>
          </w:tcPr>
          <w:p>
            <w:r>
              <w:rPr>
                <w:sz w:val="18"/>
              </w:rPr>
              <w:t>High</w:t>
            </w:r>
          </w:p>
        </w:tc>
        <w:tc>
          <w:tcPr>
            <w:tcW w:type="dxa" w:w="1520"/>
            <w:shd w:val="clear" w:color="auto" w:fill="F2F2F2"/>
          </w:tcPr>
          <w:p>
            <w:r>
              <w:rPr>
                <w:sz w:val="18"/>
              </w:rPr>
              <w:t>🔴 Critical</w:t>
            </w:r>
          </w:p>
        </w:tc>
        <w:tc>
          <w:tcPr>
            <w:tcW w:type="dxa" w:w="1520"/>
            <w:shd w:val="clear" w:color="auto" w:fill="F2F2F2"/>
          </w:tcPr>
          <w:p>
            <w:r>
              <w:rPr>
                <w:sz w:val="18"/>
              </w:rPr>
              <w:t>Immediate</w:t>
            </w:r>
          </w:p>
        </w:tc>
      </w:tr>
      <w:tr>
        <w:tc>
          <w:tcPr>
            <w:tcW w:type="dxa" w:w="1520"/>
            <w:shd w:val="clear" w:color="auto" w:fill="FFFFFF"/>
          </w:tcPr>
          <w:p>
            <w:r>
              <w:rPr>
                <w:sz w:val="18"/>
              </w:rPr>
              <w:t>Low review volume (4 reviews)</w:t>
            </w:r>
          </w:p>
        </w:tc>
        <w:tc>
          <w:tcPr>
            <w:tcW w:type="dxa" w:w="1520"/>
            <w:shd w:val="clear" w:color="auto" w:fill="FFFFFF"/>
          </w:tcPr>
          <w:p>
            <w:r>
              <w:rPr>
                <w:sz w:val="18"/>
              </w:rPr>
              <w:t>TVET Lipis</w:t>
            </w:r>
          </w:p>
        </w:tc>
        <w:tc>
          <w:tcPr>
            <w:tcW w:type="dxa" w:w="1520"/>
            <w:shd w:val="clear" w:color="auto" w:fill="FFFFFF"/>
          </w:tcPr>
          <w:p>
            <w:r>
              <w:rPr>
                <w:sz w:val="18"/>
              </w:rPr>
              <w:t>Current state</w:t>
            </w:r>
          </w:p>
        </w:tc>
        <w:tc>
          <w:tcPr>
            <w:tcW w:type="dxa" w:w="1520"/>
            <w:shd w:val="clear" w:color="auto" w:fill="FFFFFF"/>
          </w:tcPr>
          <w:p>
            <w:r>
              <w:rPr>
                <w:sz w:val="18"/>
              </w:rPr>
              <w:t>High</w:t>
            </w:r>
          </w:p>
        </w:tc>
        <w:tc>
          <w:tcPr>
            <w:tcW w:type="dxa" w:w="1520"/>
            <w:shd w:val="clear" w:color="auto" w:fill="FFFFFF"/>
          </w:tcPr>
          <w:p>
            <w:r>
              <w:rPr>
                <w:sz w:val="18"/>
              </w:rPr>
              <w:t>🔴 Critical</w:t>
            </w:r>
          </w:p>
        </w:tc>
        <w:tc>
          <w:tcPr>
            <w:tcW w:type="dxa" w:w="1520"/>
            <w:shd w:val="clear" w:color="auto" w:fill="FFFFFF"/>
          </w:tcPr>
          <w:p>
            <w:r>
              <w:rPr>
                <w:sz w:val="18"/>
              </w:rPr>
              <w:t>Immediate</w:t>
            </w:r>
          </w:p>
        </w:tc>
      </w:tr>
      <w:tr>
        <w:tc>
          <w:tcPr>
            <w:tcW w:type="dxa" w:w="1520"/>
            <w:shd w:val="clear" w:color="auto" w:fill="F2F2F2"/>
          </w:tcPr>
          <w:p>
            <w:r>
              <w:rPr>
                <w:sz w:val="18"/>
              </w:rPr>
              <w:t>Unanswered negative comment on FB</w:t>
            </w:r>
          </w:p>
        </w:tc>
        <w:tc>
          <w:tcPr>
            <w:tcW w:type="dxa" w:w="1520"/>
            <w:shd w:val="clear" w:color="auto" w:fill="F2F2F2"/>
          </w:tcPr>
          <w:p>
            <w:r>
              <w:rPr>
                <w:sz w:val="18"/>
              </w:rPr>
              <w:t>TVET Lipis</w:t>
            </w:r>
          </w:p>
        </w:tc>
        <w:tc>
          <w:tcPr>
            <w:tcW w:type="dxa" w:w="1520"/>
            <w:shd w:val="clear" w:color="auto" w:fill="F2F2F2"/>
          </w:tcPr>
          <w:p>
            <w:r>
              <w:rPr>
                <w:sz w:val="18"/>
              </w:rPr>
              <w:t>Current state</w:t>
            </w:r>
          </w:p>
        </w:tc>
        <w:tc>
          <w:tcPr>
            <w:tcW w:type="dxa" w:w="1520"/>
            <w:shd w:val="clear" w:color="auto" w:fill="F2F2F2"/>
          </w:tcPr>
          <w:p>
            <w:r>
              <w:rPr>
                <w:sz w:val="18"/>
              </w:rPr>
              <w:t>Medium</w:t>
            </w:r>
          </w:p>
        </w:tc>
        <w:tc>
          <w:tcPr>
            <w:tcW w:type="dxa" w:w="1520"/>
            <w:shd w:val="clear" w:color="auto" w:fill="F2F2F2"/>
          </w:tcPr>
          <w:p>
            <w:r>
              <w:rPr>
                <w:sz w:val="18"/>
              </w:rPr>
              <w:t>🟠 High</w:t>
            </w:r>
          </w:p>
        </w:tc>
        <w:tc>
          <w:tcPr>
            <w:tcW w:type="dxa" w:w="1520"/>
            <w:shd w:val="clear" w:color="auto" w:fill="F2F2F2"/>
          </w:tcPr>
          <w:p>
            <w:r>
              <w:rPr>
                <w:sz w:val="18"/>
              </w:rPr>
              <w:t>This week</w:t>
            </w:r>
          </w:p>
        </w:tc>
      </w:tr>
      <w:tr>
        <w:tc>
          <w:tcPr>
            <w:tcW w:type="dxa" w:w="1520"/>
            <w:shd w:val="clear" w:color="auto" w:fill="FFFFFF"/>
          </w:tcPr>
          <w:p>
            <w:r>
              <w:rPr>
                <w:sz w:val="18"/>
              </w:rPr>
              <w:t>Rating drop from disgruntled enquiry</w:t>
            </w:r>
          </w:p>
        </w:tc>
        <w:tc>
          <w:tcPr>
            <w:tcW w:type="dxa" w:w="1520"/>
            <w:shd w:val="clear" w:color="auto" w:fill="FFFFFF"/>
          </w:tcPr>
          <w:p>
            <w:r>
              <w:rPr>
                <w:sz w:val="18"/>
              </w:rPr>
              <w:t>Both orgs</w:t>
            </w:r>
          </w:p>
        </w:tc>
        <w:tc>
          <w:tcPr>
            <w:tcW w:type="dxa" w:w="1520"/>
            <w:shd w:val="clear" w:color="auto" w:fill="FFFFFF"/>
          </w:tcPr>
          <w:p>
            <w:r>
              <w:rPr>
                <w:sz w:val="18"/>
              </w:rPr>
              <w:t>Medium</w:t>
            </w:r>
          </w:p>
        </w:tc>
        <w:tc>
          <w:tcPr>
            <w:tcW w:type="dxa" w:w="1520"/>
            <w:shd w:val="clear" w:color="auto" w:fill="FFFFFF"/>
          </w:tcPr>
          <w:p>
            <w:r>
              <w:rPr>
                <w:sz w:val="18"/>
              </w:rPr>
              <w:t>High</w:t>
            </w:r>
          </w:p>
        </w:tc>
        <w:tc>
          <w:tcPr>
            <w:tcW w:type="dxa" w:w="1520"/>
            <w:shd w:val="clear" w:color="auto" w:fill="FFFFFF"/>
          </w:tcPr>
          <w:p>
            <w:r>
              <w:rPr>
                <w:sz w:val="18"/>
              </w:rPr>
              <w:t>🟠 High</w:t>
            </w:r>
          </w:p>
        </w:tc>
        <w:tc>
          <w:tcPr>
            <w:tcW w:type="dxa" w:w="1520"/>
            <w:shd w:val="clear" w:color="auto" w:fill="FFFFFF"/>
          </w:tcPr>
          <w:p>
            <w:r>
              <w:rPr>
                <w:sz w:val="18"/>
              </w:rPr>
              <w:t>Proactive</w:t>
            </w:r>
          </w:p>
        </w:tc>
      </w:tr>
      <w:tr>
        <w:tc>
          <w:tcPr>
            <w:tcW w:type="dxa" w:w="1520"/>
            <w:shd w:val="clear" w:color="auto" w:fill="F2F2F2"/>
          </w:tcPr>
          <w:p>
            <w:r>
              <w:rPr>
                <w:sz w:val="18"/>
              </w:rPr>
              <w:t>Competitor negative campaign</w:t>
            </w:r>
          </w:p>
        </w:tc>
        <w:tc>
          <w:tcPr>
            <w:tcW w:type="dxa" w:w="1520"/>
            <w:shd w:val="clear" w:color="auto" w:fill="F2F2F2"/>
          </w:tcPr>
          <w:p>
            <w:r>
              <w:rPr>
                <w:sz w:val="18"/>
              </w:rPr>
              <w:t>SBL Co</w:t>
            </w:r>
          </w:p>
        </w:tc>
        <w:tc>
          <w:tcPr>
            <w:tcW w:type="dxa" w:w="1520"/>
            <w:shd w:val="clear" w:color="auto" w:fill="F2F2F2"/>
          </w:tcPr>
          <w:p>
            <w:r>
              <w:rPr>
                <w:sz w:val="18"/>
              </w:rPr>
              <w:t>Low</w:t>
            </w:r>
          </w:p>
        </w:tc>
        <w:tc>
          <w:tcPr>
            <w:tcW w:type="dxa" w:w="1520"/>
            <w:shd w:val="clear" w:color="auto" w:fill="F2F2F2"/>
          </w:tcPr>
          <w:p>
            <w:r>
              <w:rPr>
                <w:sz w:val="18"/>
              </w:rPr>
              <w:t>Medium</w:t>
            </w:r>
          </w:p>
        </w:tc>
        <w:tc>
          <w:tcPr>
            <w:tcW w:type="dxa" w:w="1520"/>
            <w:shd w:val="clear" w:color="auto" w:fill="F2F2F2"/>
          </w:tcPr>
          <w:p>
            <w:r>
              <w:rPr>
                <w:sz w:val="18"/>
              </w:rPr>
              <w:t>🟡 Medium</w:t>
            </w:r>
          </w:p>
        </w:tc>
        <w:tc>
          <w:tcPr>
            <w:tcW w:type="dxa" w:w="1520"/>
            <w:shd w:val="clear" w:color="auto" w:fill="F2F2F2"/>
          </w:tcPr>
          <w:p>
            <w:r>
              <w:rPr>
                <w:sz w:val="18"/>
              </w:rPr>
              <w:t>Monitor</w:t>
            </w:r>
          </w:p>
        </w:tc>
      </w:tr>
      <w:tr>
        <w:tc>
          <w:tcPr>
            <w:tcW w:type="dxa" w:w="1520"/>
            <w:shd w:val="clear" w:color="auto" w:fill="FFFFFF"/>
          </w:tcPr>
          <w:p>
            <w:r>
              <w:rPr>
                <w:sz w:val="18"/>
              </w:rPr>
              <w:t>Fake/malicious reviews</w:t>
            </w:r>
          </w:p>
        </w:tc>
        <w:tc>
          <w:tcPr>
            <w:tcW w:type="dxa" w:w="1520"/>
            <w:shd w:val="clear" w:color="auto" w:fill="FFFFFF"/>
          </w:tcPr>
          <w:p>
            <w:r>
              <w:rPr>
                <w:sz w:val="18"/>
              </w:rPr>
              <w:t>Both orgs</w:t>
            </w:r>
          </w:p>
        </w:tc>
        <w:tc>
          <w:tcPr>
            <w:tcW w:type="dxa" w:w="1520"/>
            <w:shd w:val="clear" w:color="auto" w:fill="FFFFFF"/>
          </w:tcPr>
          <w:p>
            <w:r>
              <w:rPr>
                <w:sz w:val="18"/>
              </w:rPr>
              <w:t>Low</w:t>
            </w:r>
          </w:p>
        </w:tc>
        <w:tc>
          <w:tcPr>
            <w:tcW w:type="dxa" w:w="1520"/>
            <w:shd w:val="clear" w:color="auto" w:fill="FFFFFF"/>
          </w:tcPr>
          <w:p>
            <w:r>
              <w:rPr>
                <w:sz w:val="18"/>
              </w:rPr>
              <w:t>High</w:t>
            </w:r>
          </w:p>
        </w:tc>
        <w:tc>
          <w:tcPr>
            <w:tcW w:type="dxa" w:w="1520"/>
            <w:shd w:val="clear" w:color="auto" w:fill="FFFFFF"/>
          </w:tcPr>
          <w:p>
            <w:r>
              <w:rPr>
                <w:sz w:val="18"/>
              </w:rPr>
              <w:t>🟡 Medium</w:t>
            </w:r>
          </w:p>
        </w:tc>
        <w:tc>
          <w:tcPr>
            <w:tcW w:type="dxa" w:w="1520"/>
            <w:shd w:val="clear" w:color="auto" w:fill="FFFFFF"/>
          </w:tcPr>
          <w:p>
            <w:r>
              <w:rPr>
                <w:sz w:val="18"/>
              </w:rPr>
              <w:t>Protocol ready</w:t>
            </w:r>
          </w:p>
        </w:tc>
      </w:tr>
    </w:tbl>
    <w:p/>
    <w:p>
      <w:pPr>
        <w:pStyle w:val="Heading2"/>
        <w:jc w:val="left"/>
      </w:pPr>
      <w:r>
        <w:rPr>
          <w:color w:val="1F3864"/>
        </w:rPr>
        <w:t>6. Key Reputation Gaps &amp; Action Summary</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18"/>
              </w:rPr>
              <w:t>Gap</w:t>
            </w:r>
          </w:p>
        </w:tc>
        <w:tc>
          <w:tcPr>
            <w:tcW w:type="dxa" w:w="2280"/>
            <w:shd w:val="clear" w:color="auto" w:fill="1F3864"/>
          </w:tcPr>
          <w:p>
            <w:pPr>
              <w:jc w:val="center"/>
            </w:pPr>
            <w:r>
              <w:rPr>
                <w:b/>
                <w:color w:val="FFFFFF"/>
                <w:sz w:val="18"/>
              </w:rPr>
              <w:t>Organisation</w:t>
            </w:r>
          </w:p>
        </w:tc>
        <w:tc>
          <w:tcPr>
            <w:tcW w:type="dxa" w:w="2280"/>
            <w:shd w:val="clear" w:color="auto" w:fill="1F3864"/>
          </w:tcPr>
          <w:p>
            <w:pPr>
              <w:jc w:val="center"/>
            </w:pPr>
            <w:r>
              <w:rPr>
                <w:b/>
                <w:color w:val="FFFFFF"/>
                <w:sz w:val="18"/>
              </w:rPr>
              <w:t>Target</w:t>
            </w:r>
          </w:p>
        </w:tc>
        <w:tc>
          <w:tcPr>
            <w:tcW w:type="dxa" w:w="2280"/>
            <w:shd w:val="clear" w:color="auto" w:fill="1F3864"/>
          </w:tcPr>
          <w:p>
            <w:pPr>
              <w:jc w:val="center"/>
            </w:pPr>
            <w:r>
              <w:rPr>
                <w:b/>
                <w:color w:val="FFFFFF"/>
                <w:sz w:val="18"/>
              </w:rPr>
              <w:t>Action in Rep Management Plan</w:t>
            </w:r>
          </w:p>
        </w:tc>
      </w:tr>
      <w:tr>
        <w:tc>
          <w:tcPr>
            <w:tcW w:type="dxa" w:w="2280"/>
            <w:shd w:val="clear" w:color="auto" w:fill="F2F2F2"/>
          </w:tcPr>
          <w:p>
            <w:r>
              <w:rPr>
                <w:sz w:val="18"/>
              </w:rPr>
              <w:t>Rating 3.2/5 — below "Good" threshold</w:t>
            </w:r>
          </w:p>
        </w:tc>
        <w:tc>
          <w:tcPr>
            <w:tcW w:type="dxa" w:w="2280"/>
            <w:shd w:val="clear" w:color="auto" w:fill="F2F2F2"/>
          </w:tcPr>
          <w:p>
            <w:r>
              <w:rPr>
                <w:sz w:val="18"/>
              </w:rPr>
              <w:t>TVET Lipis</w:t>
            </w:r>
          </w:p>
        </w:tc>
        <w:tc>
          <w:tcPr>
            <w:tcW w:type="dxa" w:w="2280"/>
            <w:shd w:val="clear" w:color="auto" w:fill="F2F2F2"/>
          </w:tcPr>
          <w:p>
            <w:r>
              <w:rPr>
                <w:sz w:val="18"/>
              </w:rPr>
              <w:t>4.5/5 within 6 months</w:t>
            </w:r>
          </w:p>
        </w:tc>
        <w:tc>
          <w:tcPr>
            <w:tcW w:type="dxa" w:w="2280"/>
            <w:shd w:val="clear" w:color="auto" w:fill="F2F2F2"/>
          </w:tcPr>
          <w:p>
            <w:r>
              <w:rPr>
                <w:sz w:val="18"/>
              </w:rPr>
              <w:t>Active review solicitation from satisfied students</w:t>
            </w:r>
          </w:p>
        </w:tc>
      </w:tr>
      <w:tr>
        <w:tc>
          <w:tcPr>
            <w:tcW w:type="dxa" w:w="2280"/>
            <w:shd w:val="clear" w:color="auto" w:fill="FFFFFF"/>
          </w:tcPr>
          <w:p>
            <w:r>
              <w:rPr>
                <w:sz w:val="18"/>
              </w:rPr>
              <w:t>Only 4 Google reviews</w:t>
            </w:r>
          </w:p>
        </w:tc>
        <w:tc>
          <w:tcPr>
            <w:tcW w:type="dxa" w:w="2280"/>
            <w:shd w:val="clear" w:color="auto" w:fill="FFFFFF"/>
          </w:tcPr>
          <w:p>
            <w:r>
              <w:rPr>
                <w:sz w:val="18"/>
              </w:rPr>
              <w:t>TVET Lipis</w:t>
            </w:r>
          </w:p>
        </w:tc>
        <w:tc>
          <w:tcPr>
            <w:tcW w:type="dxa" w:w="2280"/>
            <w:shd w:val="clear" w:color="auto" w:fill="FFFFFF"/>
          </w:tcPr>
          <w:p>
            <w:r>
              <w:rPr>
                <w:sz w:val="18"/>
              </w:rPr>
              <w:t>40+ reviews by Jun 2025</w:t>
            </w:r>
          </w:p>
        </w:tc>
        <w:tc>
          <w:tcPr>
            <w:tcW w:type="dxa" w:w="2280"/>
            <w:shd w:val="clear" w:color="auto" w:fill="FFFFFF"/>
          </w:tcPr>
          <w:p>
            <w:r>
              <w:rPr>
                <w:sz w:val="18"/>
              </w:rPr>
              <w:t>Post-enrolment review request sequence (WhatsApp + email)</w:t>
            </w:r>
          </w:p>
        </w:tc>
      </w:tr>
      <w:tr>
        <w:tc>
          <w:tcPr>
            <w:tcW w:type="dxa" w:w="2280"/>
            <w:shd w:val="clear" w:color="auto" w:fill="F2F2F2"/>
          </w:tcPr>
          <w:p>
            <w:r>
              <w:rPr>
                <w:sz w:val="18"/>
              </w:rPr>
              <w:t>No unanswered reviews currently responded</w:t>
            </w:r>
          </w:p>
        </w:tc>
        <w:tc>
          <w:tcPr>
            <w:tcW w:type="dxa" w:w="2280"/>
            <w:shd w:val="clear" w:color="auto" w:fill="F2F2F2"/>
          </w:tcPr>
          <w:p>
            <w:r>
              <w:rPr>
                <w:sz w:val="18"/>
              </w:rPr>
              <w:t>TVET Lipis</w:t>
            </w:r>
          </w:p>
        </w:tc>
        <w:tc>
          <w:tcPr>
            <w:tcW w:type="dxa" w:w="2280"/>
            <w:shd w:val="clear" w:color="auto" w:fill="F2F2F2"/>
          </w:tcPr>
          <w:p>
            <w:r>
              <w:rPr>
                <w:sz w:val="18"/>
              </w:rPr>
              <w:t>100% response rate</w:t>
            </w:r>
          </w:p>
        </w:tc>
        <w:tc>
          <w:tcPr>
            <w:tcW w:type="dxa" w:w="2280"/>
            <w:shd w:val="clear" w:color="auto" w:fill="F2F2F2"/>
          </w:tcPr>
          <w:p>
            <w:r>
              <w:rPr>
                <w:sz w:val="18"/>
              </w:rPr>
              <w:t>Response templates + weekly monitoring by Zuriel</w:t>
            </w:r>
          </w:p>
        </w:tc>
      </w:tr>
      <w:tr>
        <w:tc>
          <w:tcPr>
            <w:tcW w:type="dxa" w:w="2280"/>
            <w:shd w:val="clear" w:color="auto" w:fill="FFFFFF"/>
          </w:tcPr>
          <w:p>
            <w:r>
              <w:rPr>
                <w:sz w:val="18"/>
              </w:rPr>
              <w:t>SBL Co 4.3/5 — room to improve</w:t>
            </w:r>
          </w:p>
        </w:tc>
        <w:tc>
          <w:tcPr>
            <w:tcW w:type="dxa" w:w="2280"/>
            <w:shd w:val="clear" w:color="auto" w:fill="FFFFFF"/>
          </w:tcPr>
          <w:p>
            <w:r>
              <w:rPr>
                <w:sz w:val="18"/>
              </w:rPr>
              <w:t>SBL Co</w:t>
            </w:r>
          </w:p>
        </w:tc>
        <w:tc>
          <w:tcPr>
            <w:tcW w:type="dxa" w:w="2280"/>
            <w:shd w:val="clear" w:color="auto" w:fill="FFFFFF"/>
          </w:tcPr>
          <w:p>
            <w:r>
              <w:rPr>
                <w:sz w:val="18"/>
              </w:rPr>
              <w:t>4.7/5 by Dec 2025</w:t>
            </w:r>
          </w:p>
        </w:tc>
        <w:tc>
          <w:tcPr>
            <w:tcW w:type="dxa" w:w="2280"/>
            <w:shd w:val="clear" w:color="auto" w:fill="FFFFFF"/>
          </w:tcPr>
          <w:p>
            <w:r>
              <w:rPr>
                <w:sz w:val="18"/>
              </w:rPr>
              <w:t>Respond to all reviews; address 2 negative reviews</w:t>
            </w:r>
          </w:p>
        </w:tc>
      </w:tr>
      <w:tr>
        <w:tc>
          <w:tcPr>
            <w:tcW w:type="dxa" w:w="2280"/>
            <w:shd w:val="clear" w:color="auto" w:fill="F2F2F2"/>
          </w:tcPr>
          <w:p>
            <w:r>
              <w:rPr>
                <w:sz w:val="18"/>
              </w:rPr>
              <w:t>No active reputation monitoring system</w:t>
            </w:r>
          </w:p>
        </w:tc>
        <w:tc>
          <w:tcPr>
            <w:tcW w:type="dxa" w:w="2280"/>
            <w:shd w:val="clear" w:color="auto" w:fill="F2F2F2"/>
          </w:tcPr>
          <w:p>
            <w:r>
              <w:rPr>
                <w:sz w:val="18"/>
              </w:rPr>
              <w:t>Both</w:t>
            </w:r>
          </w:p>
        </w:tc>
        <w:tc>
          <w:tcPr>
            <w:tcW w:type="dxa" w:w="2280"/>
            <w:shd w:val="clear" w:color="auto" w:fill="F2F2F2"/>
          </w:tcPr>
          <w:p>
            <w:r>
              <w:rPr>
                <w:sz w:val="18"/>
              </w:rPr>
              <w:t>Weekly monitoring dashboard</w:t>
            </w:r>
          </w:p>
        </w:tc>
        <w:tc>
          <w:tcPr>
            <w:tcW w:type="dxa" w:w="2280"/>
            <w:shd w:val="clear" w:color="auto" w:fill="F2F2F2"/>
          </w:tcPr>
          <w:p>
            <w:r>
              <w:rPr>
                <w:sz w:val="18"/>
              </w:rPr>
              <w:t>Google Alerts + monthly reputation report template</w:t>
            </w:r>
          </w:p>
        </w:tc>
      </w:tr>
    </w:tbl>
    <w:p/>
    <w:p/>
    <w:p>
      <w:pPr>
        <w:pStyle w:val="Heading2"/>
        <w:jc w:val="left"/>
      </w:pPr>
      <w:r>
        <w:rPr>
          <w:color w:val="C0392B"/>
        </w:rPr>
        <w:t>Approval Section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C0392B"/>
          </w:tcPr>
          <w:p>
            <w:pPr>
              <w:jc w:val="center"/>
            </w:pPr>
            <w:r>
              <w:rPr>
                <w:b/>
                <w:color w:val="FFFFFF"/>
                <w:sz w:val="18"/>
              </w:rPr>
              <w:t>Role</w:t>
            </w:r>
          </w:p>
        </w:tc>
        <w:tc>
          <w:tcPr>
            <w:tcW w:type="dxa" w:w="2280"/>
            <w:shd w:val="clear" w:color="auto" w:fill="C0392B"/>
          </w:tcPr>
          <w:p>
            <w:pPr>
              <w:jc w:val="center"/>
            </w:pPr>
            <w:r>
              <w:rPr>
                <w:b/>
                <w:color w:val="FFFFFF"/>
                <w:sz w:val="18"/>
              </w:rPr>
              <w:t>Name</w:t>
            </w:r>
          </w:p>
        </w:tc>
        <w:tc>
          <w:tcPr>
            <w:tcW w:type="dxa" w:w="2280"/>
            <w:shd w:val="clear" w:color="auto" w:fill="C0392B"/>
          </w:tcPr>
          <w:p>
            <w:pPr>
              <w:jc w:val="center"/>
            </w:pPr>
            <w:r>
              <w:rPr>
                <w:b/>
                <w:color w:val="FFFFFF"/>
                <w:sz w:val="18"/>
              </w:rPr>
              <w:t>Signature</w:t>
            </w:r>
          </w:p>
        </w:tc>
        <w:tc>
          <w:tcPr>
            <w:tcW w:type="dxa" w:w="2280"/>
            <w:shd w:val="clear" w:color="auto" w:fill="C0392B"/>
          </w:tcPr>
          <w:p>
            <w:pPr>
              <w:jc w:val="center"/>
            </w:pPr>
            <w:r>
              <w:rPr>
                <w:b/>
                <w:color w:val="FFFFFF"/>
                <w:sz w:val="18"/>
              </w:rPr>
              <w:t>Date</w:t>
            </w:r>
          </w:p>
        </w:tc>
      </w:tr>
      <w:tr>
        <w:tc>
          <w:tcPr>
            <w:tcW w:type="dxa" w:w="2280"/>
            <w:shd w:val="clear" w:color="auto" w:fill="F2F2F2"/>
          </w:tcPr>
          <w:p>
            <w:r>
              <w:rPr>
                <w:sz w:val="18"/>
              </w:rPr>
              <w:t>Prepared by</w:t>
            </w:r>
          </w:p>
        </w:tc>
        <w:tc>
          <w:tcPr>
            <w:tcW w:type="dxa" w:w="2280"/>
            <w:shd w:val="clear" w:color="auto" w:fill="F2F2F2"/>
          </w:tcPr>
          <w:p>
            <w:r>
              <w:rPr>
                <w:sz w:val="18"/>
              </w:rPr>
              <w:t>Zuriel Seong Ming Ee</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r>
        <w:tc>
          <w:tcPr>
            <w:tcW w:type="dxa" w:w="2280"/>
            <w:shd w:val="clear" w:color="auto" w:fill="FFFFFF"/>
          </w:tcPr>
          <w:p>
            <w:r>
              <w:rPr>
                <w:sz w:val="18"/>
              </w:rPr>
              <w:t>Reviewed by</w:t>
            </w:r>
          </w:p>
        </w:tc>
        <w:tc>
          <w:tcPr>
            <w:tcW w:type="dxa" w:w="2280"/>
            <w:shd w:val="clear" w:color="auto" w:fill="FFFFFF"/>
          </w:tcPr>
          <w:p>
            <w:r>
              <w:rPr>
                <w:sz w:val="18"/>
              </w:rPr>
              <w:t>[PPT Supervisor / Assessor — Pending]</w:t>
            </w:r>
          </w:p>
        </w:tc>
        <w:tc>
          <w:tcPr>
            <w:tcW w:type="dxa" w:w="2280"/>
            <w:shd w:val="clear" w:color="auto" w:fill="FFFFFF"/>
          </w:tcPr>
          <w:p>
            <w:r>
              <w:rPr>
                <w:sz w:val="18"/>
              </w:rPr>
              <w:t>___________________</w:t>
            </w:r>
          </w:p>
        </w:tc>
        <w:tc>
          <w:tcPr>
            <w:tcW w:type="dxa" w:w="2280"/>
            <w:shd w:val="clear" w:color="auto" w:fill="FFFFFF"/>
          </w:tcPr>
          <w:p>
            <w:r>
              <w:rPr>
                <w:sz w:val="18"/>
              </w:rPr>
              <w:t>___________</w:t>
            </w:r>
          </w:p>
        </w:tc>
      </w:tr>
      <w:tr>
        <w:tc>
          <w:tcPr>
            <w:tcW w:type="dxa" w:w="2280"/>
            <w:shd w:val="clear" w:color="auto" w:fill="F2F2F2"/>
          </w:tcPr>
          <w:p>
            <w:r>
              <w:rPr>
                <w:sz w:val="18"/>
              </w:rPr>
              <w:t>Approved by</w:t>
            </w:r>
          </w:p>
        </w:tc>
        <w:tc>
          <w:tcPr>
            <w:tcW w:type="dxa" w:w="2280"/>
            <w:shd w:val="clear" w:color="auto" w:fill="F2F2F2"/>
          </w:tcPr>
          <w:p>
            <w:r>
              <w:rPr>
                <w:sz w:val="18"/>
              </w:rPr>
              <w:t>Lee Bee Chuan</w:t>
              <w:br/>
              <w:t>Managing Director</w:t>
              <w:br/>
              <w:t>Fokus Kiara Sdn Bhd</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