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58AE7" w14:textId="77777777" w:rsidR="00142A59" w:rsidRDefault="00D03146">
      <w:pPr>
        <w:spacing w:after="227" w:line="254" w:lineRule="auto"/>
        <w:ind w:left="573" w:right="3" w:hanging="1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</w:rPr>
        <mc:AlternateContent>
          <mc:Choice Requires="wpg">
            <w:drawing>
              <wp:inline distT="0" distB="0" distL="0" distR="0" wp14:anchorId="1A94DEAC" wp14:editId="5C2F2E92">
                <wp:extent cx="1390476" cy="1247619"/>
                <wp:effectExtent l="0" t="0" r="635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1390476" cy="12476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09.49pt;height:98.2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</w:p>
    <w:p w14:paraId="163E9B69" w14:textId="77777777" w:rsidR="00142A59" w:rsidRDefault="00D03146">
      <w:pPr>
        <w:spacing w:after="227" w:line="254" w:lineRule="auto"/>
        <w:ind w:right="3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Universidad de las Fuerzas Armadas ESPE</w:t>
      </w:r>
    </w:p>
    <w:p w14:paraId="7ADCB64D" w14:textId="77777777" w:rsidR="00142A59" w:rsidRDefault="00D03146">
      <w:pPr>
        <w:widowControl w:val="0"/>
        <w:spacing w:after="227"/>
        <w:ind w:right="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Departamento de Ciencias de la Computación</w:t>
      </w:r>
    </w:p>
    <w:p w14:paraId="004A99CB" w14:textId="77777777" w:rsidR="00142A59" w:rsidRDefault="00D03146">
      <w:pPr>
        <w:widowControl w:val="0"/>
        <w:spacing w:after="227"/>
        <w:ind w:right="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Desarrollo de Software Seguro</w:t>
      </w:r>
    </w:p>
    <w:p w14:paraId="48FAB0ED" w14:textId="77777777" w:rsidR="00142A59" w:rsidRDefault="00142A59">
      <w:pPr>
        <w:spacing w:before="480" w:after="120"/>
        <w:rPr>
          <w:rFonts w:ascii="Times New Roman" w:eastAsia="Times New Roman" w:hAnsi="Times New Roman" w:cs="Times New Roman"/>
          <w:b/>
          <w:bCs/>
          <w:sz w:val="38"/>
          <w:szCs w:val="38"/>
        </w:rPr>
      </w:pPr>
    </w:p>
    <w:p w14:paraId="54624612" w14:textId="77777777" w:rsidR="00142A59" w:rsidRDefault="00D03146">
      <w:pPr>
        <w:spacing w:before="480" w:after="120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Aplicación de chat Seguro: R</w:t>
      </w: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equisitos Funcionales, No Funcionales y Mecanismos de Seguridad</w:t>
      </w:r>
    </w:p>
    <w:p w14:paraId="5926FDD3" w14:textId="77777777" w:rsidR="00142A59" w:rsidRDefault="00142A59">
      <w:pPr>
        <w:spacing w:before="480" w:after="120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</w:p>
    <w:p w14:paraId="47E466F6" w14:textId="77777777" w:rsidR="00142A59" w:rsidRDefault="00142A59">
      <w:pPr>
        <w:spacing w:after="229" w:line="254" w:lineRule="auto"/>
        <w:jc w:val="center"/>
        <w:rPr>
          <w:rFonts w:ascii="Calibri" w:eastAsia="Calibri" w:hAnsi="Calibri" w:cs="Calibri"/>
          <w:sz w:val="30"/>
          <w:szCs w:val="30"/>
        </w:rPr>
      </w:pPr>
    </w:p>
    <w:p w14:paraId="204EC702" w14:textId="77777777" w:rsidR="00142A59" w:rsidRDefault="00D03146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Integrantes:</w:t>
      </w:r>
    </w:p>
    <w:p w14:paraId="093550D3" w14:textId="77777777" w:rsidR="00142A59" w:rsidRDefault="00D03146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Cuzco Alex</w:t>
      </w:r>
    </w:p>
    <w:p w14:paraId="5D6A71DD" w14:textId="77777777" w:rsidR="00142A59" w:rsidRDefault="00D03146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Díaz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Stiven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79F0280" w14:textId="77777777" w:rsidR="00142A59" w:rsidRDefault="00D03146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Zurita Pablo</w:t>
      </w:r>
    </w:p>
    <w:p w14:paraId="0A2FD2D4" w14:textId="77777777" w:rsidR="00142A59" w:rsidRDefault="00142A59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7B7B8D3" w14:textId="77777777" w:rsidR="00142A59" w:rsidRDefault="00142A59">
      <w:pPr>
        <w:keepLines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3A5E22" w14:textId="77777777" w:rsidR="00142A59" w:rsidRDefault="00D03146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NRC: </w:t>
      </w:r>
      <w:r>
        <w:rPr>
          <w:rFonts w:ascii="Times New Roman" w:eastAsia="Times New Roman" w:hAnsi="Times New Roman" w:cs="Times New Roman"/>
          <w:sz w:val="28"/>
          <w:szCs w:val="28"/>
        </w:rPr>
        <w:t>36900</w:t>
      </w:r>
    </w:p>
    <w:p w14:paraId="7039EBE8" w14:textId="77777777" w:rsidR="00142A59" w:rsidRDefault="00142A59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1C0DE7" w14:textId="77777777" w:rsidR="00142A59" w:rsidRDefault="00142A59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44E430A" w14:textId="77777777" w:rsidR="00142A59" w:rsidRDefault="00142A59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96EB4AC" w14:textId="77777777" w:rsidR="00142A59" w:rsidRDefault="00D03146">
      <w:pPr>
        <w:spacing w:after="226" w:line="254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Fecha: </w:t>
      </w:r>
      <w:r>
        <w:rPr>
          <w:rFonts w:ascii="Times New Roman" w:eastAsia="Times New Roman" w:hAnsi="Times New Roman" w:cs="Times New Roman"/>
          <w:sz w:val="28"/>
          <w:szCs w:val="28"/>
        </w:rPr>
        <w:t>15/10/2026</w:t>
      </w:r>
    </w:p>
    <w:p w14:paraId="7715DC62" w14:textId="77777777" w:rsidR="00142A59" w:rsidRDefault="00142A5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B49AC2" w14:textId="77777777" w:rsidR="00142A59" w:rsidRDefault="00D031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 w:clear="all"/>
      </w:r>
    </w:p>
    <w:p w14:paraId="57A1C164" w14:textId="77777777" w:rsidR="00142A59" w:rsidRDefault="00142A59">
      <w:pPr>
        <w:rPr>
          <w:rFonts w:ascii="Times New Roman" w:hAnsi="Times New Roman" w:cs="Times New Roman"/>
          <w:b/>
          <w:bCs/>
          <w:sz w:val="24"/>
          <w:szCs w:val="24"/>
        </w:rPr>
        <w:sectPr w:rsidR="00142A59">
          <w:pgSz w:w="11906" w:h="16838"/>
          <w:pgMar w:top="998" w:right="998" w:bottom="998" w:left="998" w:header="709" w:footer="709" w:gutter="0"/>
          <w:pgNumType w:start="1"/>
          <w:cols w:space="720"/>
        </w:sectPr>
      </w:pPr>
    </w:p>
    <w:p w14:paraId="73850D04" w14:textId="77777777" w:rsidR="00142A59" w:rsidRDefault="00D031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Requisitos funcionales</w:t>
      </w:r>
    </w:p>
    <w:p w14:paraId="52513DAD" w14:textId="77777777" w:rsidR="00142A59" w:rsidRDefault="00142A59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StGen0"/>
        <w:tblW w:w="14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900"/>
        <w:gridCol w:w="5600"/>
        <w:gridCol w:w="4100"/>
        <w:gridCol w:w="1250"/>
        <w:gridCol w:w="1088"/>
      </w:tblGrid>
      <w:tr w:rsidR="00142A59" w14:paraId="510D6B06" w14:textId="77777777"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7ECF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Código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B894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Requisito funcional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DC9F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Descripción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B22BD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Técnica / mecanismo de seguridad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0841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Actor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8B24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Prioridad</w:t>
            </w:r>
          </w:p>
        </w:tc>
      </w:tr>
      <w:tr w:rsidR="00142A59" w14:paraId="7F71CBC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F955B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1852C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Autenticación del administrador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7EBCE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autenticar al administrador con usuario, contraseña de mínimo 12 caracteres y segundo factor, y bloquear la cuenta 15 min tras 5 intentos fallidos.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1D48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Hash Argon2id (19 MiB, 2 iteraciones, sal única); TOTP (RFC 6238, 6 dígitos); mensaje de 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rror genérico; límite de intentos.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39E2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821B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40D2746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4AC33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RF-02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EFED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salas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4321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crear, modificar, consultar y cerrar salas con identificador, clave, capacidad (2–100) y modalidad (texto, multimedia o ambos), expulsando a los participantes al cerrarlas.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1581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Identificadores UUID v4 con CSPRNG; autorización RBAC en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servidor; cierre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 código 1000; evento en el registro (RF-13).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E5B9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D019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16A9C9E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8E4B1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A408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Configuración del máximo de participantes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9656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rechazar con HTTP 403 el ingreso a una sala que alcance su máximo de participantes (por defecto 20).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4511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Contador de participantes atómico (transacción en BD o INCR en Redis) contra condiciones de carrera.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811C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E2BF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142A59" w14:paraId="4732C83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3394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804AC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Identificador y clave independiente por sala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80BB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>El sistema deberá asignar a cada sala un UUID único y una clave propia de 16 caracteres alfanuméricos (≈95 bits), distinta de las demás salas.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5F4B3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CSPRNG; almacenamiento con Argon2id y sal; unicidad por huella HMAC-SHA-256 con "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pepper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"; clave mostrada una sola vez.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9379D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77D6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6690438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799C3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RF-05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26EA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Salas configurables por tipo de contenido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C124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restringir en el servidor el contenido de cada sala según su modalidad, admitiendo imágenes PNG, JPEG y BMP y audio WAV.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6FAB3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Lista blanca de tipos de contenido; validación del lado servidor (no solo en la interfaz); rechazo con HTTP 415.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C7FFD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6FA6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142A59" w14:paraId="1C43627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7BD8F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RF-06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FD27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Restricción de un dispositivo por usuario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A5C2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una sola sesión activa por usuario y rechazar con HTTP 409 el ingreso desde un segundo dispositivo.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D0E51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UUID de dispositivo y hash del User-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Agent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ligados al token de sesión;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heartbeat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60 s para liberar la sesión.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B195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7BEE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37FE7C5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5FC3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RF-07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9F3F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Autenticación y autorización de ingreso a salas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2369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validar el identificador y la clave de la sala antes del ingreso, permitiendo máximo 5 intentos fallidos por IP y sala cada 10 min.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4CDC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Verificación Argon2id con comparación en tiempo cons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tante; error genérico;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limiting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; token ligado a usuario, sala y dispositivo.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6B7A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0B7F8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79A403E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3CD0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RF-08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D2F5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Cifrado de las comunicaciones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E772C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cifrar mensajes y archivos en tránsito y en reposo.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EA6FB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TLS 1.3 (mínimo 1.2 con suites AEAD), wss:// y HSTS; AES-256-GCM con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nonce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96 bits; clave por sala derivada con HKDF-SHA-256 desde una clave maestra en gestor de secretos.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8B66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AC211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142A59" w14:paraId="3D671B1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6AD5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4457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Protección de la integridad de los mensajes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9807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verificar la integridad de cada mensaje y archivo, y descartar los alterados o repetidos.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1D203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Etiqueta de autenticación GCM de 128 bits; número de secuencia y marca de tiempo (±60 s) contra repetición; SHA-256 de archivos al recibirlos y al 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ntregarlos.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277D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C0FC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7C252DC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81A1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E26D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Carga y transferencia segura de archivos multimedia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6012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subir por HTTPS archivos de hasta 10 MB en salas habilitadas, manteniéndolos en estado "pendiente" hasta superar RF-11 y RF-12.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7A57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Renombrado a UUID; almacenamiento cifrado fuera de la carpeta pública; URL firmada con HMAC-SHA-256 que expira a los 5 min; límite de 5 archivos por minuto.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438DB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063E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1B7FBFE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AAA4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31E1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Validación de archivos antes de compartirlos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5357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 xml:space="preserve">El sistema deberá verificar extensión, tipo real, tamaño (≤ 10 MB) y dimensiones (≤ 4096×4096 </w:t>
            </w:r>
            <w:proofErr w:type="spellStart"/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>px</w:t>
            </w:r>
            <w:proofErr w:type="spellEnd"/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>) de cada archivo antes de entregarlo.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0CE0D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Lista blanca de extensiones; firmas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magic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bytes) PNG 89 50 4E 47, JPEG FF 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 FF, BMP 42 4D, WAV RIFF/WAVE; decodificación completa con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Pillow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; eliminación de metadatos EXIF.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DAEED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C8AA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05C6FF6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199DF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RF-12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8C62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Detección de archivos sospechosos (esteganografía)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653E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analizar cada archivo validado, marcarlo como sospechoso si su puntaje combinado supera el umbral (0,5 inicial), aplicar la política (bloqueo, cuarentena o rechazo) y alertar al administrador en menos de 5 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CC1CB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Análisis estructural (datos 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ras EOI/IEND,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chunks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anómalos); chi-cuadrado, 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Analysis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Sample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Analysis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 LSB; chi-cuadrado DCT y calibración para JPEG; ensamble tipo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StegExpose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ejecución 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sandbox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sin red.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36788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79DA1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0A61A93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205E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RF-13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9AB8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 de eventos de seguridad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5A1B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registrar accesos, rechazos, cambios de salas, cargas, alertas y fallos de integridad con fecha UTC, usuario, sala, IP y severidad, conservándolos al menos 90 días.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F91318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 de solo agregado con encadenamiento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de hashes SHA-256; prohibido registrar claves, tokens y contenido de mensajes.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E22B6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6734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658BB56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45EF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C235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sesiones y cierre seguro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492E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expirar sesiones por inactividad (15 min usuarios, 10 min administrador) y duración máxima (4 h y 2 h), cerrando la conexión y liberando el cupo.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38627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Token opaco de 256 bits guardado como hash; cookie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HttpOnly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Secure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SameSite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Strict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; token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nuevo tras autenticar; ping/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cada 30 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E338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A8B38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142A59" w14:paraId="6DE9F34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A933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RF-15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DC52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Aplicación del mínimo privilegio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1106E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otorgar a cada rol y componente solo los permisos necesarios para su función.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902CB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RBAC con denegación por defecto (HTTP 403); cuenta de BD sin DROP/ALTER y con solo INSERT sobre el log; módulo de análisis sin red y de solo lectura.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F6F40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BA1C5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</w:tr>
      <w:tr w:rsidR="00142A59" w14:paraId="1B36A26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60C0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RF-16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78B42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Controles y pruebas de seguridad en el ciclo de desarrollo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63759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desarrollarse con modelado de amenazas, revisión de código y pruebas de seguridad, sin vulnerabilidades críticas o altas abiertas en la entrega final.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6190A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STRIDE;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revisión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por pares; SAST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Semgrep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/SonarQube);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dependencias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(Dependency-Check/pip-audit);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gitleaks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DAST con OWASP ZAP; OWASP ASVS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nivel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B67F4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Equipo de desarrollo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FD4E1" w14:textId="77777777" w:rsidR="00142A59" w:rsidRDefault="00D03146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</w:tbl>
    <w:p w14:paraId="6095773D" w14:textId="77777777" w:rsidR="00C15062" w:rsidRDefault="00C15062" w:rsidP="00C1506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00AA7A" w14:textId="610C3FAB" w:rsidR="00142A59" w:rsidRDefault="00D03146" w:rsidP="00C150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5062"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2DF35B2A" w14:textId="77777777" w:rsidR="00C15062" w:rsidRPr="00C15062" w:rsidRDefault="00C15062" w:rsidP="00C15062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800"/>
        <w:gridCol w:w="1410"/>
        <w:gridCol w:w="5805"/>
        <w:gridCol w:w="5040"/>
        <w:gridCol w:w="971"/>
      </w:tblGrid>
      <w:tr w:rsidR="00142A59" w14:paraId="053520B6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1F3864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8BD20" w14:textId="77777777" w:rsidR="00142A59" w:rsidRDefault="00D03146">
            <w:pPr>
              <w:shd w:val="clear" w:color="1F3864" w:fill="1F3864"/>
              <w:spacing w:after="20" w:line="288" w:lineRule="auto"/>
              <w:jc w:val="center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1F3864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C2DF2" w14:textId="77777777" w:rsidR="00142A59" w:rsidRDefault="00D03146">
            <w:pPr>
              <w:shd w:val="clear" w:color="1F3864" w:fill="1F3864"/>
              <w:spacing w:after="20" w:line="288" w:lineRule="auto"/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1F3864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9B7508" w14:textId="77777777" w:rsidR="00142A59" w:rsidRDefault="00D03146">
            <w:pPr>
              <w:shd w:val="clear" w:color="1F3864" w:fill="1F3864"/>
              <w:spacing w:after="20" w:line="288" w:lineRule="auto"/>
              <w:jc w:val="center"/>
            </w:pPr>
            <w:r>
              <w:rPr>
                <w:b/>
                <w:color w:val="FFFFFF"/>
                <w:sz w:val="18"/>
              </w:rPr>
              <w:t>Requisito no funcional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1F3864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57EC2" w14:textId="77777777" w:rsidR="00142A59" w:rsidRDefault="00D03146">
            <w:pPr>
              <w:shd w:val="clear" w:color="1F3864" w:fill="1F3864"/>
              <w:spacing w:after="20" w:line="288" w:lineRule="auto"/>
              <w:jc w:val="center"/>
            </w:pPr>
            <w:r>
              <w:rPr>
                <w:b/>
                <w:color w:val="FFFFFF"/>
                <w:sz w:val="18"/>
              </w:rPr>
              <w:t>Técnica / mecanismo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1F3864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CC3ED" w14:textId="77777777" w:rsidR="00142A59" w:rsidRDefault="00D03146">
            <w:pPr>
              <w:shd w:val="clear" w:color="1F3864" w:fill="1F3864"/>
              <w:spacing w:after="20" w:line="288" w:lineRule="auto"/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</w:tr>
      <w:tr w:rsidR="00142A59" w14:paraId="59D589FA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48FC7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RNF-01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C9ED6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Rendimiento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62D8A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entregar un mensaje a los participantes en máximo 500 ms (percentil 95) con 100 usuarios concurrentes.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DF101" w14:textId="77777777" w:rsidR="00142A59" w:rsidRDefault="00D03146">
            <w:pPr>
              <w:spacing w:after="20" w:line="288" w:lineRule="auto"/>
            </w:pPr>
            <w:proofErr w:type="spellStart"/>
            <w:r>
              <w:rPr>
                <w:color w:val="000000"/>
                <w:sz w:val="17"/>
              </w:rPr>
              <w:t>WebSockets</w:t>
            </w:r>
            <w:proofErr w:type="spellEnd"/>
            <w:r>
              <w:rPr>
                <w:color w:val="000000"/>
                <w:sz w:val="17"/>
              </w:rPr>
              <w:t xml:space="preserve">; </w:t>
            </w:r>
            <w:proofErr w:type="spellStart"/>
            <w:r>
              <w:rPr>
                <w:color w:val="000000"/>
                <w:sz w:val="17"/>
              </w:rPr>
              <w:t>broker</w:t>
            </w:r>
            <w:proofErr w:type="spellEnd"/>
            <w:r>
              <w:rPr>
                <w:color w:val="000000"/>
                <w:sz w:val="17"/>
              </w:rPr>
              <w:t xml:space="preserve"> de mensajes en memoria; pruebas de carga con k6 o </w:t>
            </w:r>
            <w:proofErr w:type="spellStart"/>
            <w:r>
              <w:rPr>
                <w:color w:val="000000"/>
                <w:sz w:val="17"/>
              </w:rPr>
              <w:t>JMeter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3A674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Alta</w:t>
            </w:r>
          </w:p>
        </w:tc>
      </w:tr>
      <w:tr w:rsidR="00142A59" w14:paraId="287CC1F6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B33DA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RNF-02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131F2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Rendimiento del análisis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60593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 xml:space="preserve">El sistema deberá completar la validación y el análisis </w:t>
            </w:r>
            <w:proofErr w:type="spellStart"/>
            <w:r>
              <w:rPr>
                <w:color w:val="000000"/>
                <w:sz w:val="17"/>
              </w:rPr>
              <w:t>esteganográfico</w:t>
            </w:r>
            <w:proofErr w:type="spellEnd"/>
            <w:r>
              <w:rPr>
                <w:color w:val="000000"/>
                <w:sz w:val="17"/>
              </w:rPr>
              <w:t xml:space="preserve"> de un archivo de 10 MB en máximo 10 s.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0D17D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 xml:space="preserve">Cola de trabajos asíncrona; </w:t>
            </w:r>
            <w:proofErr w:type="spellStart"/>
            <w:r>
              <w:rPr>
                <w:color w:val="000000"/>
                <w:sz w:val="17"/>
              </w:rPr>
              <w:t>workers</w:t>
            </w:r>
            <w:proofErr w:type="spellEnd"/>
            <w:r>
              <w:rPr>
                <w:color w:val="000000"/>
                <w:sz w:val="17"/>
              </w:rPr>
              <w:t xml:space="preserve"> aislados; tiempo límite por tarea.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17044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3ECF7F1D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9CB5D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RNF-03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B9630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Escalabilidad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D7C64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soportar 20 salas activas y 200 usuarios concurrentes, ampliables sin cambiar el diseño.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9D0B6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Servicios sin estado; sesiones en Redis; escalado horizontal con contenedores.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89B6E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28BC2293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C3F32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lastRenderedPageBreak/>
              <w:t>RNF-04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13BD4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Disponibilidad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1059D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mantener una disponibilidad mensual mínima del 99 %.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12A75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 xml:space="preserve">Contenedores con reinicio automático; </w:t>
            </w:r>
            <w:proofErr w:type="spellStart"/>
            <w:r>
              <w:rPr>
                <w:color w:val="000000"/>
                <w:sz w:val="17"/>
              </w:rPr>
              <w:t>health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checks</w:t>
            </w:r>
            <w:proofErr w:type="spellEnd"/>
            <w:r>
              <w:rPr>
                <w:color w:val="000000"/>
                <w:sz w:val="17"/>
              </w:rPr>
              <w:t>; monitoreo.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69CD9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69135B51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730E6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RNF-05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BDD0A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Seguridad criptográfica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BC1A5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usar solo algoritmos vigentes y prohibir MD5, SHA-1, DES, RC4 y protocolos TLS inferiores a 1.2.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097D5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 xml:space="preserve">Librerías auditadas (OpenSSL, </w:t>
            </w:r>
            <w:proofErr w:type="spellStart"/>
            <w:r>
              <w:rPr>
                <w:color w:val="000000"/>
                <w:sz w:val="17"/>
              </w:rPr>
              <w:t>libsodium</w:t>
            </w:r>
            <w:proofErr w:type="spellEnd"/>
            <w:r>
              <w:rPr>
                <w:color w:val="000000"/>
                <w:sz w:val="17"/>
              </w:rPr>
              <w:t xml:space="preserve"> o </w:t>
            </w:r>
            <w:proofErr w:type="spellStart"/>
            <w:r>
              <w:rPr>
                <w:color w:val="000000"/>
                <w:sz w:val="17"/>
              </w:rPr>
              <w:t>cryptography</w:t>
            </w:r>
            <w:proofErr w:type="spellEnd"/>
            <w:r>
              <w:rPr>
                <w:color w:val="000000"/>
                <w:sz w:val="17"/>
              </w:rPr>
              <w:t>), sin criptografía propia; verificación con testssl.sh.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D8565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Alta</w:t>
            </w:r>
          </w:p>
        </w:tc>
      </w:tr>
      <w:tr w:rsidR="00142A59" w14:paraId="3C4636F3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31449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RNF-06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DF089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Seguridad de la aplicación web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1A491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protegerse contra las vulnerabilidades del OWASP Top 10.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31EA0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Consultas parametrizadas (</w:t>
            </w:r>
            <w:proofErr w:type="spellStart"/>
            <w:r>
              <w:rPr>
                <w:color w:val="000000"/>
                <w:sz w:val="17"/>
              </w:rPr>
              <w:t>SQLi</w:t>
            </w:r>
            <w:proofErr w:type="spellEnd"/>
            <w:r>
              <w:rPr>
                <w:color w:val="000000"/>
                <w:sz w:val="17"/>
              </w:rPr>
              <w:t>); escape de salida y Content-Security-</w:t>
            </w:r>
            <w:proofErr w:type="spellStart"/>
            <w:r>
              <w:rPr>
                <w:color w:val="000000"/>
                <w:sz w:val="17"/>
              </w:rPr>
              <w:t>Policy</w:t>
            </w:r>
            <w:proofErr w:type="spellEnd"/>
            <w:r>
              <w:rPr>
                <w:color w:val="000000"/>
                <w:sz w:val="17"/>
              </w:rPr>
              <w:t xml:space="preserve"> (XSS); validación de entrada por esquema; </w:t>
            </w:r>
            <w:proofErr w:type="spellStart"/>
            <w:r>
              <w:rPr>
                <w:color w:val="000000"/>
                <w:sz w:val="17"/>
              </w:rPr>
              <w:t>SameSite</w:t>
            </w:r>
            <w:proofErr w:type="spellEnd"/>
            <w:r>
              <w:rPr>
                <w:color w:val="000000"/>
                <w:sz w:val="17"/>
              </w:rPr>
              <w:t xml:space="preserve"> y token anti-CSRF; cabe</w:t>
            </w:r>
            <w:r>
              <w:rPr>
                <w:color w:val="000000"/>
                <w:sz w:val="17"/>
              </w:rPr>
              <w:t>ceras X-Content-</w:t>
            </w:r>
            <w:proofErr w:type="spellStart"/>
            <w:r>
              <w:rPr>
                <w:color w:val="000000"/>
                <w:sz w:val="17"/>
              </w:rPr>
              <w:t>Type</w:t>
            </w:r>
            <w:proofErr w:type="spellEnd"/>
            <w:r>
              <w:rPr>
                <w:color w:val="000000"/>
                <w:sz w:val="17"/>
              </w:rPr>
              <w:t>-</w:t>
            </w:r>
            <w:proofErr w:type="spellStart"/>
            <w:r>
              <w:rPr>
                <w:color w:val="000000"/>
                <w:sz w:val="17"/>
              </w:rPr>
              <w:t>Options</w:t>
            </w:r>
            <w:proofErr w:type="spellEnd"/>
            <w:r>
              <w:rPr>
                <w:color w:val="000000"/>
                <w:sz w:val="17"/>
              </w:rPr>
              <w:t xml:space="preserve"> y X-</w:t>
            </w:r>
            <w:proofErr w:type="spellStart"/>
            <w:r>
              <w:rPr>
                <w:color w:val="000000"/>
                <w:sz w:val="17"/>
              </w:rPr>
              <w:t>Frame</w:t>
            </w:r>
            <w:proofErr w:type="spellEnd"/>
            <w:r>
              <w:rPr>
                <w:color w:val="000000"/>
                <w:sz w:val="17"/>
              </w:rPr>
              <w:t>-</w:t>
            </w:r>
            <w:proofErr w:type="spellStart"/>
            <w:r>
              <w:rPr>
                <w:color w:val="000000"/>
                <w:sz w:val="17"/>
              </w:rPr>
              <w:t>Options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AB2B3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Alta</w:t>
            </w:r>
          </w:p>
        </w:tc>
      </w:tr>
      <w:tr w:rsidR="00142A59" w14:paraId="71663211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6CB69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RNF-07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671C2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Gestión de secretos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6E7A1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no deberá almacenar claves, contraseñas ni tokens en el código fuente ni en los registros.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1089F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 xml:space="preserve">Variables de entorno o gestor de secretos (p. ej., </w:t>
            </w:r>
            <w:proofErr w:type="spellStart"/>
            <w:r>
              <w:rPr>
                <w:color w:val="000000"/>
                <w:sz w:val="17"/>
              </w:rPr>
              <w:t>Vault</w:t>
            </w:r>
            <w:proofErr w:type="spellEnd"/>
            <w:r>
              <w:rPr>
                <w:color w:val="000000"/>
                <w:sz w:val="17"/>
              </w:rPr>
              <w:t xml:space="preserve">); rotación de la clave maestra cada 90 días; detección con </w:t>
            </w:r>
            <w:proofErr w:type="spellStart"/>
            <w:r>
              <w:rPr>
                <w:color w:val="000000"/>
                <w:sz w:val="17"/>
              </w:rPr>
              <w:t>gitleaks</w:t>
            </w:r>
            <w:proofErr w:type="spellEnd"/>
            <w:r>
              <w:rPr>
                <w:color w:val="000000"/>
                <w:sz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47C6D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Alta</w:t>
            </w:r>
          </w:p>
        </w:tc>
      </w:tr>
      <w:tr w:rsidR="00142A59" w14:paraId="61152A72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BB986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RNF-08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9338F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Resistencia a abuso y denegación de servicio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B9B64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limitar las peticiones por IP y por usuario, y descartar las que excedan el límite.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505C6" w14:textId="77777777" w:rsidR="00142A59" w:rsidRDefault="00D03146">
            <w:pPr>
              <w:shd w:val="clear" w:color="F2F5FA" w:fill="F2F5FA"/>
              <w:spacing w:after="20" w:line="288" w:lineRule="auto"/>
            </w:pPr>
            <w:proofErr w:type="spellStart"/>
            <w:r>
              <w:rPr>
                <w:color w:val="000000"/>
                <w:sz w:val="17"/>
              </w:rPr>
              <w:t>Rate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limiting</w:t>
            </w:r>
            <w:proofErr w:type="spellEnd"/>
            <w:r>
              <w:rPr>
                <w:color w:val="000000"/>
                <w:sz w:val="17"/>
              </w:rPr>
              <w:t xml:space="preserve"> con token </w:t>
            </w:r>
            <w:proofErr w:type="spellStart"/>
            <w:r>
              <w:rPr>
                <w:color w:val="000000"/>
                <w:sz w:val="17"/>
              </w:rPr>
              <w:t>bucket</w:t>
            </w:r>
            <w:proofErr w:type="spellEnd"/>
            <w:r>
              <w:rPr>
                <w:color w:val="000000"/>
                <w:sz w:val="17"/>
              </w:rPr>
              <w:t>; límite de tamaño de cuerpo (10 MB); tiempos de espera de conexión.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B4A7B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Alta</w:t>
            </w:r>
          </w:p>
        </w:tc>
      </w:tr>
      <w:tr w:rsidR="00142A59" w14:paraId="3DFA4F2D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A487C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RNF-09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B7432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Privacidad y retención de datos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57004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recolectar solo un alias del usuario y eliminar mensajes y archivos tras cerrar la sala, y los de cuarentena a los 30 días.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718BB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Minimización de datos; purga programada; registros de seguridad con IP cons</w:t>
            </w:r>
            <w:r>
              <w:rPr>
                <w:color w:val="000000"/>
                <w:sz w:val="17"/>
              </w:rPr>
              <w:t>ervados 90 días.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C7827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4D07AD19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C577A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RNF-10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4ACE6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Usabilidad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9DBA2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permitir ingresar a una sala en máximo 3 pasos y mostrar errores claros sin revelar información sensible.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B94CB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Interfaz responsive; mensajes de error genéricos; pruebas con usuarios.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7F966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52E45952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87944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RNF-11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0EFBC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Mantenibilidad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19C474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tener pruebas unitarias automatizadas con cobertura mínima del 70 % en los módulos de seguridad.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28915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 xml:space="preserve">Integración continua; </w:t>
            </w:r>
            <w:proofErr w:type="spellStart"/>
            <w:r>
              <w:rPr>
                <w:color w:val="000000"/>
                <w:sz w:val="17"/>
              </w:rPr>
              <w:t>linters</w:t>
            </w:r>
            <w:proofErr w:type="spellEnd"/>
            <w:r>
              <w:rPr>
                <w:color w:val="000000"/>
                <w:sz w:val="17"/>
              </w:rPr>
              <w:t>; módulos separados por responsabilidad.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1B688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5972AF8D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3776F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RNF-12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98C3B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Compatibilidad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58208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funcionar en las dos últimas versiones de Chrome, Firefox, Edge y Safari.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A5B80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 xml:space="preserve">Estándares </w:t>
            </w:r>
            <w:proofErr w:type="spellStart"/>
            <w:r>
              <w:rPr>
                <w:color w:val="000000"/>
                <w:sz w:val="17"/>
              </w:rPr>
              <w:t>WebSocket</w:t>
            </w:r>
            <w:proofErr w:type="spellEnd"/>
            <w:r>
              <w:rPr>
                <w:color w:val="000000"/>
                <w:sz w:val="17"/>
              </w:rPr>
              <w:t xml:space="preserve"> y HTML5; pruebas entre navegadores.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51B3C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Baja</w:t>
            </w:r>
          </w:p>
        </w:tc>
      </w:tr>
      <w:tr w:rsidR="00142A59" w14:paraId="2B047A70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59D80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RNF-13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7F2D7" w14:textId="77777777" w:rsidR="00142A59" w:rsidRDefault="00D03146">
            <w:pPr>
              <w:spacing w:after="20" w:line="288" w:lineRule="auto"/>
            </w:pPr>
            <w:r>
              <w:rPr>
                <w:b/>
                <w:color w:val="000000"/>
                <w:sz w:val="17"/>
              </w:rPr>
              <w:t>Respaldo y recuperación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C1CEA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El sistema deberá realizar respaldos diarios cifrados y poder restaurarse en máximo 4 h (RPO 24 h, RTO 4 h).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E0BC2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Respaldos con AES-256; almacenamiento separado; prueba de restauración periódica.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5E7A5" w14:textId="77777777" w:rsidR="00142A59" w:rsidRDefault="00D03146">
            <w:pPr>
              <w:spacing w:after="20" w:line="288" w:lineRule="auto"/>
            </w:pPr>
            <w:r>
              <w:rPr>
                <w:color w:val="000000"/>
                <w:sz w:val="17"/>
              </w:rPr>
              <w:t>Media</w:t>
            </w:r>
          </w:p>
        </w:tc>
      </w:tr>
      <w:tr w:rsidR="00142A59" w14:paraId="3E07349A" w14:textId="77777777">
        <w:tc>
          <w:tcPr>
            <w:tcW w:w="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9D7D4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RNF-14</w:t>
            </w:r>
          </w:p>
        </w:tc>
        <w:tc>
          <w:tcPr>
            <w:tcW w:w="1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9C23E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b/>
                <w:color w:val="000000"/>
                <w:sz w:val="17"/>
              </w:rPr>
              <w:t>Monitoreo y auditoría</w:t>
            </w:r>
          </w:p>
        </w:tc>
        <w:tc>
          <w:tcPr>
            <w:tcW w:w="58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DC9BF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El sistema deberá exponer métricas de salud y alertar ante picos de rechazos de ingreso o de archivos sospechosos.</w:t>
            </w:r>
          </w:p>
        </w:tc>
        <w:tc>
          <w:tcPr>
            <w:tcW w:w="50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17CBB" w14:textId="77777777" w:rsidR="00142A59" w:rsidRDefault="00D03146">
            <w:pPr>
              <w:shd w:val="clear" w:color="F2F5FA" w:fill="F2F5FA"/>
              <w:spacing w:after="20" w:line="288" w:lineRule="auto"/>
            </w:pPr>
            <w:proofErr w:type="spellStart"/>
            <w:r>
              <w:rPr>
                <w:color w:val="000000"/>
                <w:sz w:val="17"/>
              </w:rPr>
              <w:t>Endpoint</w:t>
            </w:r>
            <w:proofErr w:type="spellEnd"/>
            <w:r>
              <w:rPr>
                <w:color w:val="000000"/>
                <w:sz w:val="17"/>
              </w:rPr>
              <w:t xml:space="preserve"> de </w:t>
            </w:r>
            <w:proofErr w:type="spellStart"/>
            <w:r>
              <w:rPr>
                <w:color w:val="000000"/>
                <w:sz w:val="17"/>
              </w:rPr>
              <w:t>health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check</w:t>
            </w:r>
            <w:proofErr w:type="spellEnd"/>
            <w:r>
              <w:rPr>
                <w:color w:val="000000"/>
                <w:sz w:val="17"/>
              </w:rPr>
              <w:t xml:space="preserve">; métricas (p. ej., </w:t>
            </w:r>
            <w:proofErr w:type="spellStart"/>
            <w:r>
              <w:rPr>
                <w:color w:val="000000"/>
                <w:sz w:val="17"/>
              </w:rPr>
              <w:t>Prometheus</w:t>
            </w:r>
            <w:proofErr w:type="spellEnd"/>
            <w:r>
              <w:rPr>
                <w:color w:val="000000"/>
                <w:sz w:val="17"/>
              </w:rPr>
              <w:t>); alertas por umbral.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F2F5FA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ACB55" w14:textId="77777777" w:rsidR="00142A59" w:rsidRDefault="00D03146">
            <w:pPr>
              <w:shd w:val="clear" w:color="F2F5FA" w:fill="F2F5FA"/>
              <w:spacing w:after="20" w:line="288" w:lineRule="auto"/>
            </w:pPr>
            <w:r>
              <w:rPr>
                <w:color w:val="000000"/>
                <w:sz w:val="17"/>
              </w:rPr>
              <w:t>Baja</w:t>
            </w:r>
          </w:p>
        </w:tc>
      </w:tr>
    </w:tbl>
    <w:p w14:paraId="3579BEAE" w14:textId="77777777" w:rsidR="00142A59" w:rsidRDefault="00142A59">
      <w:pPr>
        <w:pageBreakBefore/>
        <w:rPr>
          <w:rFonts w:ascii="Times New Roman" w:hAnsi="Times New Roman" w:cs="Times New Roman"/>
          <w:sz w:val="24"/>
          <w:szCs w:val="24"/>
        </w:rPr>
      </w:pPr>
    </w:p>
    <w:sectPr w:rsidR="00142A59">
      <w:pgSz w:w="16838" w:h="11906" w:orient="landscape"/>
      <w:pgMar w:top="998" w:right="998" w:bottom="998" w:left="99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616B18" w14:textId="77777777" w:rsidR="00D03146" w:rsidRDefault="00D03146">
      <w:r>
        <w:separator/>
      </w:r>
    </w:p>
  </w:endnote>
  <w:endnote w:type="continuationSeparator" w:id="0">
    <w:p w14:paraId="2F28E155" w14:textId="77777777" w:rsidR="00D03146" w:rsidRDefault="00D03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F58CE" w14:textId="77777777" w:rsidR="00D03146" w:rsidRDefault="00D03146">
      <w:r>
        <w:separator/>
      </w:r>
    </w:p>
  </w:footnote>
  <w:footnote w:type="continuationSeparator" w:id="0">
    <w:p w14:paraId="38B05D8A" w14:textId="77777777" w:rsidR="00D03146" w:rsidRDefault="00D0314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A59"/>
    <w:rsid w:val="00142A59"/>
    <w:rsid w:val="00C15062"/>
    <w:rsid w:val="00D03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54BFFA"/>
  <w15:docId w15:val="{8405D59D-D3A3-4DA9-9022-12CEFEC71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12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1450</Words>
  <Characters>7979</Characters>
  <Application>Microsoft Office Word</Application>
  <DocSecurity>0</DocSecurity>
  <Lines>66</Lines>
  <Paragraphs>18</Paragraphs>
  <ScaleCrop>false</ScaleCrop>
  <Company/>
  <LinksUpToDate>false</LinksUpToDate>
  <CharactersWithSpaces>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Cuzco</cp:lastModifiedBy>
  <cp:revision>5</cp:revision>
  <dcterms:created xsi:type="dcterms:W3CDTF">2026-10-15T15:32:00Z</dcterms:created>
  <dcterms:modified xsi:type="dcterms:W3CDTF">2026-10-15T16:23:00Z</dcterms:modified>
</cp:coreProperties>
</file>