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0" w:line="480" w:lineRule="auto"/>
        <w:jc w:val="center"/>
      </w:pPr>
      <w:r>
        <w:rPr>
          <w:rFonts w:ascii="Times New Roman" w:cs="Times New Roman" w:eastAsia="Times New Roman" w:hAnsi="Times New Roman"/>
          <w:sz w:val="24"/>
          <w:szCs w:val="24"/>
        </w:rPr>
        <w:t xml:space="preserve">Limin Hou</w:t>
      </w:r>
    </w:p>
    <w:p>
      <w:pPr>
        <w:spacing w:after="360" w:line="360" w:lineRule="auto"/>
        <w:jc w:val="center"/>
      </w:pPr>
      <w:r>
        <w:rPr>
          <w:rFonts w:ascii="Times New Roman" w:cs="Times New Roman" w:eastAsia="Times New Roman" w:hAnsi="Times New Roman"/>
          <w:i/>
          <w:iCs/>
          <w:sz w:val="24"/>
          <w:szCs w:val="24"/>
        </w:rPr>
        <w:t xml:space="preserve">[Institutional affiliation — to be supplied; e.g., Department, University, City, Country; email; ORCID]</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The most important precedent is Lee Yearley’s "Job and Confucius," a genuinely pioneering piece.</w:t>
      </w:r>
      <w:r>
        <w:rPr>
          <w:rStyle w:val="FootnoteReference"/>
        </w:rPr>
        <w:footnoteReference w:id="2"/>
      </w:r>
      <w:r>
        <w:rPr>
          <w:rFonts w:ascii="Times New Roman" w:cs="Times New Roman" w:eastAsia="Times New Roman" w:hAnsi="Times New Roman"/>
          <w:sz w:val="24"/>
          <w:szCs w:val="24"/>
        </w:rPr>
        <w:t xml:space="preserve"> Working with an Aristotelian account of the virtues, Yearley set Job’s protest beside sayings from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in which Confucius treats virtue as something held apart from any external payoff, and concluded that both traditions recognize a goodness that does not require the prop of reward. The insight still holds. But Yearley’s study labors under three limitations that the present essay is designed to address. The Aristotelian apparatus is a third term imposed from outside, not a category that either tradition generates from within. His Confucian text is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rather than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so that Mencius’s far more systematic and explicit account of the purpose of suffering never comes into view. And his comparison never reaches the mechanical question that animates this essay: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does suffering shape character?</w:t>
      </w:r>
    </w:p>
    <w:p>
      <w:pPr>
        <w:spacing w:line="480" w:lineRule="auto"/>
        <w:ind w:firstLine="720"/>
      </w:pPr>
      <w:r>
        <w:rPr>
          <w:rFonts w:ascii="Times New Roman" w:cs="Times New Roman" w:eastAsia="Times New Roman" w:hAnsi="Times New Roman"/>
          <w:sz w:val="24"/>
          <w:szCs w:val="24"/>
        </w:rPr>
        <w:t xml:space="preserve">I take up Yearley’s problem and try to carry it three steps further. First, I replace the Aristotelian frame with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test or assay) belongs to the assayer’s workshop, and it is no accident that it sits beside the figure of gold.</w:t>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w:t>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Yearley’s comparative frame. Yearley demonstrated, within an Aristotelian apparatus, that virtue can be held independent of reward; but the apparatus was imported, not grown from within either tradition.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Yearley, Lee H. "Job and Confucius." </w:t>
      </w:r>
      <w:r>
        <w:rPr>
          <w:rFonts w:ascii="Times New Roman" w:cs="Times New Roman" w:eastAsia="Times New Roman" w:hAnsi="Times New Roman"/>
          <w:i/>
          <w:iCs/>
          <w:sz w:val="24"/>
          <w:szCs w:val="24"/>
        </w:rPr>
        <w:t xml:space="preserve">Journal of Religious Ethics</w:t>
      </w:r>
      <w:r>
        <w:rPr>
          <w:rFonts w:ascii="Times New Roman" w:cs="Times New Roman" w:eastAsia="Times New Roman" w:hAnsi="Times New Roman"/>
          <w:sz w:val="24"/>
          <w:szCs w:val="24"/>
        </w:rPr>
        <w:t xml:space="preserve"> 9, no. 1 (1981): 107–22.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Lee H. Yearley, "Job and Confucius," </w:t>
      </w:r>
      <w:r>
        <w:rPr>
          <w:rFonts w:ascii="Times New Roman" w:cs="Times New Roman" w:eastAsia="Times New Roman" w:hAnsi="Times New Roman"/>
          <w:i/>
          <w:iCs/>
          <w:sz w:val="20"/>
          <w:szCs w:val="20"/>
        </w:rPr>
        <w:t xml:space="preserve">Journal of Religious Ethics</w:t>
      </w:r>
      <w:r>
        <w:rPr>
          <w:rFonts w:ascii="Times New Roman" w:cs="Times New Roman" w:eastAsia="Times New Roman" w:hAnsi="Times New Roman"/>
          <w:sz w:val="20"/>
          <w:szCs w:val="20"/>
        </w:rPr>
        <w:t xml:space="preserve"> 9, no. 1 (1981): 107–22. Yearley pairs Job with the </w:t>
      </w:r>
      <w:r>
        <w:rPr>
          <w:rFonts w:ascii="Times New Roman" w:cs="Times New Roman" w:eastAsia="Times New Roman" w:hAnsi="Times New Roman"/>
          <w:i/>
          <w:iCs/>
          <w:sz w:val="20"/>
          <w:szCs w:val="20"/>
        </w:rPr>
        <w:t xml:space="preserve">Analects</w:t>
      </w:r>
      <w:r>
        <w:rPr>
          <w:rFonts w:ascii="Times New Roman" w:cs="Times New Roman" w:eastAsia="Times New Roman" w:hAnsi="Times New Roman"/>
          <w:sz w:val="20"/>
          <w:szCs w:val="20"/>
        </w:rPr>
        <w:t xml:space="preserve"> rather than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and reads both through an Aristotelian lens.</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2026-06-12T20:47:19.853Z</dcterms:created>
  <dcterms:modified xsi:type="dcterms:W3CDTF">2026-06-12T20:47:19.854Z</dcterms:modified>
</cp:coreProperties>
</file>

<file path=docProps/custom.xml><?xml version="1.0" encoding="utf-8"?>
<Properties xmlns="http://schemas.openxmlformats.org/officeDocument/2006/custom-properties" xmlns:vt="http://schemas.openxmlformats.org/officeDocument/2006/docPropsVTypes"/>
</file>