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480" w:lineRule="auto"/>
        <w:jc w:val="center"/>
      </w:pPr>
      <w:r>
        <w:rPr>
          <w:rFonts w:ascii="Times New Roman" w:cs="Times New Roman" w:eastAsia="Times New Roman" w:hAnsi="Times New Roman"/>
          <w:b/>
          <w:bCs/>
          <w:sz w:val="24"/>
          <w:szCs w:val="24"/>
        </w:rPr>
        <w:t xml:space="preserve">Title Page</w:t>
      </w:r>
    </w:p>
    <w:p>
      <w:pPr>
        <w:spacing w:after="0" w:line="480" w:lineRule="auto"/>
        <w:jc w:val="center"/>
      </w:pPr>
      <w:r>
        <w:rPr>
          <w:rFonts w:ascii="Times New Roman" w:cs="Times New Roman" w:eastAsia="Times New Roman" w:hAnsi="Times New Roman"/>
          <w:b/>
          <w:bCs/>
          <w:sz w:val="24"/>
          <w:szCs w:val="24"/>
        </w:rPr>
        <w:t xml:space="preserve">Divine Purpose in Human Suffering:</w:t>
      </w:r>
    </w:p>
    <w:p>
      <w:pPr>
        <w:spacing w:after="360" w:line="480" w:lineRule="auto"/>
        <w:jc w:val="center"/>
      </w:pPr>
      <w:r>
        <w:rPr>
          <w:rFonts w:ascii="Times New Roman" w:cs="Times New Roman" w:eastAsia="Times New Roman" w:hAnsi="Times New Roman"/>
          <w:b/>
          <w:bCs/>
          <w:sz w:val="24"/>
          <w:szCs w:val="24"/>
        </w:rPr>
        <w:t xml:space="preserve">Theodicy and Moral Formation in Job and Mencius</w:t>
      </w:r>
    </w:p>
    <w:p>
      <w:pPr>
        <w:spacing w:after="60" w:line="480" w:lineRule="auto"/>
        <w:jc w:val="center"/>
      </w:pPr>
      <w:r>
        <w:rPr>
          <w:rFonts w:ascii="Times New Roman" w:cs="Times New Roman" w:eastAsia="Times New Roman" w:hAnsi="Times New Roman"/>
          <w:sz w:val="24"/>
          <w:szCs w:val="24"/>
        </w:rPr>
        <w:t xml:space="preserve">Limin Hou</w:t>
      </w:r>
    </w:p>
    <w:p>
      <w:pPr>
        <w:spacing w:after="60" w:line="480" w:lineRule="auto"/>
        <w:jc w:val="center"/>
      </w:pPr>
      <w:r>
        <w:rPr>
          <w:rFonts w:ascii="Times New Roman" w:cs="Times New Roman" w:eastAsia="Times New Roman" w:hAnsi="Times New Roman"/>
          <w:i/>
          <w:iCs/>
          <w:sz w:val="24"/>
          <w:szCs w:val="24"/>
        </w:rPr>
        <w:t xml:space="preserve">[Department / Institution — to be supplied]</w:t>
      </w:r>
    </w:p>
    <w:p>
      <w:pPr>
        <w:spacing w:after="60" w:line="480" w:lineRule="auto"/>
        <w:jc w:val="center"/>
      </w:pPr>
      <w:r>
        <w:rPr>
          <w:rFonts w:ascii="Times New Roman" w:cs="Times New Roman" w:eastAsia="Times New Roman" w:hAnsi="Times New Roman"/>
          <w:i/>
          <w:iCs/>
          <w:sz w:val="24"/>
          <w:szCs w:val="24"/>
        </w:rPr>
        <w:t xml:space="preserve">[City, Country]</w:t>
      </w:r>
    </w:p>
    <w:p>
      <w:pPr>
        <w:spacing w:after="60" w:line="480" w:lineRule="auto"/>
        <w:jc w:val="center"/>
      </w:pPr>
      <w:r>
        <w:rPr>
          <w:rFonts w:ascii="Times New Roman" w:cs="Times New Roman" w:eastAsia="Times New Roman" w:hAnsi="Times New Roman"/>
          <w:i/>
          <w:iCs/>
          <w:sz w:val="24"/>
          <w:szCs w:val="24"/>
        </w:rPr>
        <w:t xml:space="preserve">[Email address]</w:t>
      </w:r>
    </w:p>
    <w:p>
      <w:pPr>
        <w:spacing w:after="480" w:line="480" w:lineRule="auto"/>
        <w:jc w:val="center"/>
      </w:pPr>
      <w:r>
        <w:rPr>
          <w:rFonts w:ascii="Times New Roman" w:cs="Times New Roman" w:eastAsia="Times New Roman" w:hAnsi="Times New Roman"/>
          <w:i/>
          <w:iCs/>
          <w:sz w:val="24"/>
          <w:szCs w:val="24"/>
        </w:rPr>
        <w:t xml:space="preserve">[ORCID iD]</w:t>
      </w:r>
    </w:p>
    <w:p>
      <w:pPr>
        <w:spacing w:after="60" w:line="480" w:lineRule="auto"/>
      </w:pPr>
      <w:r>
        <w:rPr>
          <w:rFonts w:ascii="Times New Roman" w:cs="Times New Roman" w:eastAsia="Times New Roman" w:hAnsi="Times New Roman"/>
          <w:b/>
          <w:bCs/>
          <w:sz w:val="24"/>
          <w:szCs w:val="24"/>
        </w:rPr>
        <w:t xml:space="preserve">Abstract</w:t>
      </w:r>
    </w:p>
    <w:p>
      <w:pPr>
        <w:spacing w:after="120" w:line="360" w:lineRule="auto"/>
      </w:pPr>
      <w:r>
        <w:rPr>
          <w:rFonts w:ascii="Times New Roman" w:cs="Times New Roman" w:eastAsia="Times New Roman" w:hAnsi="Times New Roman"/>
          <w:sz w:val="24"/>
          <w:szCs w:val="24"/>
        </w:rPr>
        <w:t xml:space="preserve">This essay reads the book of Job alongside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(the fifteenth section of "Gaozi II") through cross-textual hermeneutics, arguing that the two texts generate not a synthesis but a productive tension over the role of suffering in moral formation. The most important precedent, Lee Yearley’s 1981 pairing of Job with Confucius, worked within an Aristotelian frame and concluded that virtue can be held independent of reward. I take three further steps: I replace that imported frame with Archie Lee’s cross-textual method, which lets each text argue in its own idiom; I substitute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6B15 for the </w:t>
      </w:r>
      <w:r>
        <w:rPr>
          <w:rFonts w:ascii="Times New Roman" w:cs="Times New Roman" w:eastAsia="Times New Roman" w:hAnsi="Times New Roman"/>
          <w:i/>
          <w:iCs/>
          <w:sz w:val="24"/>
          <w:szCs w:val="24"/>
        </w:rPr>
        <w:t xml:space="preserve">Analects</w:t>
      </w:r>
      <w:r>
        <w:rPr>
          <w:rFonts w:ascii="Times New Roman" w:cs="Times New Roman" w:eastAsia="Times New Roman" w:hAnsi="Times New Roman"/>
          <w:sz w:val="24"/>
          <w:szCs w:val="24"/>
        </w:rPr>
        <w:t xml:space="preserve">, a text far more explicit about the pedagogy of adversity; and I make Job 23:10 ("when he has tested me, I shall come out like gold," </w:t>
      </w:r>
      <w:r>
        <w:rPr>
          <w:rFonts w:ascii="Times New Roman" w:cs="Noto Sans Hebrew" w:hAnsi="Times New Roman"/>
          <w:sz w:val="24"/>
          <w:szCs w:val="24"/>
        </w:rPr>
        <w:t xml:space="preserve">כִּי בְחָנַנִי כַּזָּהָב אֵצֵא</w:t>
      </w:r>
      <w:r>
        <w:rPr>
          <w:rFonts w:ascii="Times New Roman" w:cs="Times New Roman" w:eastAsia="Times New Roman" w:hAnsi="Times New Roman"/>
          <w:sz w:val="24"/>
          <w:szCs w:val="24"/>
        </w:rPr>
        <w:t xml:space="preserve">) the hinge of the argument. Read with Mencian eyes, Job’s metallurgical image betrays a teleological instinct that Greco-Roman frameworks—Stoic endurance, Platonic ascent, Leibnizian optimism—have tended to obscure. The structural parallel between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w:t>
      </w:r>
      <w:r>
        <w:rPr>
          <w:rFonts w:ascii="Times New Roman" w:cs="Noto Sans Hebrew" w:hAnsi="Times New Roman"/>
          <w:sz w:val="24"/>
          <w:szCs w:val="24"/>
        </w:rPr>
        <w:t xml:space="preserve">תֻמָּה</w:t>
      </w:r>
      <w:r>
        <w:rPr>
          <w:rFonts w:ascii="Times New Roman" w:cs="Times New Roman" w:eastAsia="Times New Roman" w:hAnsi="Times New Roman"/>
          <w:sz w:val="24"/>
          <w:szCs w:val="24"/>
        </w:rPr>
        <w:t xml:space="preserve">, integrity) and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(端, the moral "sprouts"), both qualities that suffering refines rather than creates, is the essay’s central contribution. Job restrains the Mencian drift toward over-systematization; Mengzi keeps the Joban narrative from collapsing into nihilism.</w:t>
      </w:r>
    </w:p>
    <w:p>
      <w:pPr>
        <w:spacing w:after="360" w:line="36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Job – Mencius (</w:t>
      </w:r>
      <w:r>
        <w:rPr>
          <w:rFonts w:ascii="Times New Roman" w:cs="Times New Roman" w:eastAsia="Times New Roman" w:hAnsi="Times New Roman"/>
          <w:i/>
          <w:iCs/>
          <w:sz w:val="24"/>
          <w:szCs w:val="24"/>
        </w:rPr>
        <w:t xml:space="preserve">Mengzi</w:t>
      </w:r>
      <w:r>
        <w:rPr>
          <w:rFonts w:ascii="Times New Roman" w:cs="Times New Roman" w:eastAsia="Times New Roman" w:hAnsi="Times New Roman"/>
          <w:sz w:val="24"/>
          <w:szCs w:val="24"/>
        </w:rPr>
        <w:t xml:space="preserve">) – theodicy – cross-textual hermeneutics – moral formation – suffering – </w:t>
      </w:r>
      <w:r>
        <w:rPr>
          <w:rFonts w:ascii="Times New Roman" w:cs="Times New Roman" w:eastAsia="Times New Roman" w:hAnsi="Times New Roman"/>
          <w:i/>
          <w:iCs/>
          <w:sz w:val="24"/>
          <w:szCs w:val="24"/>
        </w:rPr>
        <w:t xml:space="preserve">tummâ</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duan</w:t>
      </w:r>
      <w:r>
        <w:rPr>
          <w:rFonts w:ascii="Times New Roman" w:cs="Times New Roman" w:eastAsia="Times New Roman" w:hAnsi="Times New Roman"/>
          <w:sz w:val="24"/>
          <w:szCs w:val="24"/>
        </w:rPr>
        <w:t xml:space="preserve"> – productive tension – comparative scripture</w:t>
      </w:r>
    </w:p>
    <w:p>
      <w:pPr>
        <w:spacing w:after="120" w:line="480" w:lineRule="auto"/>
      </w:pPr>
      <w:r>
        <w:rPr>
          <w:rFonts w:ascii="Times New Roman" w:cs="Times New Roman" w:eastAsia="Times New Roman" w:hAnsi="Times New Roman"/>
          <w:b/>
          <w:bCs/>
          <w:sz w:val="24"/>
          <w:szCs w:val="24"/>
        </w:rPr>
        <w:t xml:space="preserve">Submission type: </w:t>
      </w:r>
      <w:r>
        <w:rPr>
          <w:rFonts w:ascii="Times New Roman" w:cs="Times New Roman" w:eastAsia="Times New Roman" w:hAnsi="Times New Roman"/>
          <w:sz w:val="24"/>
          <w:szCs w:val="24"/>
        </w:rPr>
        <w:t xml:space="preserve">Research article</w:t>
      </w:r>
    </w:p>
    <w:p>
      <w:pPr>
        <w:spacing w:after="120" w:line="480" w:lineRule="auto"/>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approx. 6,500 words (main text, excluding notes and bibliography)</w:t>
      </w:r>
    </w:p>
    <w:p>
      <w:pPr>
        <w:spacing w:after="120" w:line="480" w:lineRule="auto"/>
      </w:pPr>
      <w:r>
        <w:rPr>
          <w:rFonts w:ascii="Times New Roman" w:cs="Times New Roman" w:eastAsia="Times New Roman" w:hAnsi="Times New Roman"/>
          <w:b/>
          <w:bCs/>
          <w:sz w:val="24"/>
          <w:szCs w:val="24"/>
        </w:rPr>
        <w:t xml:space="preserve">Note to the editor: </w:t>
      </w:r>
      <w:r>
        <w:rPr>
          <w:rFonts w:ascii="Times New Roman" w:cs="Times New Roman" w:eastAsia="Times New Roman" w:hAnsi="Times New Roman"/>
          <w:sz w:val="24"/>
          <w:szCs w:val="24"/>
        </w:rPr>
        <w:t xml:space="preserve">This title page is supplied separately from the anonymized manuscript to support double-blind peer review. The manuscript file (job_mencius_paper_english_anon.docx) carries no identifying author information; the abstract and keywords are reproduced in the manuscript for the referees.</w:t>
      </w:r>
    </w:p>
    <w:p>
      <w:pPr>
        <w:spacing w:after="120" w:line="480" w:lineRule="auto"/>
      </w:pPr>
      <w:r>
        <w:rPr>
          <w:rFonts w:ascii="Times New Roman" w:cs="Times New Roman" w:eastAsia="Times New Roman" w:hAnsi="Times New Roman"/>
          <w:b/>
          <w:bCs/>
          <w:sz w:val="24"/>
          <w:szCs w:val="24"/>
        </w:rPr>
        <w:t xml:space="preserve">Conflict of interest: </w:t>
      </w:r>
      <w:r>
        <w:rPr>
          <w:rFonts w:ascii="Times New Roman" w:cs="Times New Roman" w:eastAsia="Times New Roman" w:hAnsi="Times New Roman"/>
          <w:sz w:val="24"/>
          <w:szCs w:val="24"/>
        </w:rPr>
        <w:t xml:space="preserve">The author declares no conflict of interest.</w:t>
      </w:r>
    </w:p>
    <w:p>
      <w:pPr>
        <w:spacing w:after="120" w:line="480" w:lineRule="auto"/>
      </w:pPr>
      <w:r>
        <w:rPr>
          <w:rFonts w:ascii="Times New Roman" w:cs="Times New Roman" w:eastAsia="Times New Roman" w:hAnsi="Times New Roman"/>
          <w:b/>
          <w:bCs/>
          <w:sz w:val="24"/>
          <w:szCs w:val="24"/>
        </w:rPr>
        <w:t xml:space="preserve">Acknowledgements: </w:t>
      </w:r>
      <w:r>
        <w:rPr>
          <w:rFonts w:ascii="Times New Roman" w:cs="Times New Roman" w:eastAsia="Times New Roman" w:hAnsi="Times New Roman"/>
          <w:sz w:val="24"/>
          <w:szCs w:val="24"/>
        </w:rPr>
        <w:t xml:space="preserve">In preparing this article the author used an AI-based assistant for English-language editing and stylistic polishing. All research, analysis, translations, arguments, and conclusions are the author’s own, and the author takes full responsibility for the content of the manuscript.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2026-06-13T01:17:48.211Z</dcterms:created>
  <dcterms:modified xsi:type="dcterms:W3CDTF">2026-06-13T01:17:48.211Z</dcterms:modified>
</cp:coreProperties>
</file>

<file path=docProps/custom.xml><?xml version="1.0" encoding="utf-8"?>
<Properties xmlns="http://schemas.openxmlformats.org/officeDocument/2006/custom-properties" xmlns:vt="http://schemas.openxmlformats.org/officeDocument/2006/docPropsVTypes"/>
</file>