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line="480" w:lineRule="auto"/>
        <w:jc w:val="center"/>
      </w:pPr>
      <w:r>
        <w:rPr>
          <w:rFonts w:ascii="Times New Roman" w:cs="Times New Roman" w:eastAsia="Times New Roman" w:hAnsi="Times New Roman"/>
          <w:b/>
          <w:bCs/>
          <w:sz w:val="24"/>
          <w:szCs w:val="24"/>
        </w:rPr>
        <w:t xml:space="preserve">DIVINE PURPOSE IN HUMAN SUFFERING: THEODICY AND MORAL FORMATION IN JOB AND MENCIUS</w:t>
      </w:r>
    </w:p>
    <w:p>
      <w:pPr>
        <w:spacing w:after="0" w:before="0" w:line="480" w:lineRule="auto"/>
      </w:pPr>
      <w:r>
        <w:rPr>
          <w:rFonts w:ascii="Times New Roman" w:cs="Times New Roman" w:eastAsia="Times New Roman" w:hAnsi="Times New Roman"/>
          <w:b/>
          <w:bCs/>
          <w:sz w:val="24"/>
          <w:szCs w:val="24"/>
        </w:rPr>
        <w:t xml:space="preserve">Abstract</w:t>
      </w:r>
    </w:p>
    <w:p>
      <w:pPr>
        <w:spacing w:line="480" w:lineRule="auto"/>
        <w:ind w:firstLine="720"/>
      </w:pPr>
      <w:r>
        <w:rPr>
          <w:rFonts w:ascii="Times New Roman" w:cs="Times New Roman" w:eastAsia="Times New Roman" w:hAnsi="Times New Roman"/>
          <w:sz w:val="24"/>
          <w:szCs w:val="24"/>
        </w:rPr>
        <w:t xml:space="preserve">This article examines the Book of Job and Mencius’ </w:t>
      </w:r>
      <w:r>
        <w:rPr>
          <w:rFonts w:ascii="Times New Roman" w:cs="Times New Roman" w:eastAsia="Times New Roman" w:hAnsi="Times New Roman"/>
          <w:i/>
          <w:iCs/>
          <w:sz w:val="24"/>
          <w:szCs w:val="24"/>
        </w:rPr>
        <w:t xml:space="preserve">Gaozi Shang</w:t>
      </w:r>
      <w:r>
        <w:rPr>
          <w:rFonts w:ascii="Times New Roman" w:cs="Times New Roman" w:eastAsia="Times New Roman" w:hAnsi="Times New Roman"/>
          <w:sz w:val="24"/>
          <w:szCs w:val="24"/>
        </w:rPr>
        <w:t xml:space="preserve"> through cross-textual hermeneutics, arguing that these texts offer a dialectically productive contrast for understanding suffering’s role in moral formation. Employing Archie C. C. Lee’s cross-textual hermeneutics as methodology, the analysis identifies the shared problematic—whether adversity produces or destroys virtue within a cosmically ordered framework—as the </w:t>
      </w:r>
      <w:r>
        <w:rPr>
          <w:rFonts w:ascii="Times New Roman" w:cs="Times New Roman" w:eastAsia="Times New Roman" w:hAnsi="Times New Roman"/>
          <w:i/>
          <w:iCs/>
          <w:sz w:val="24"/>
          <w:szCs w:val="24"/>
        </w:rPr>
        <w:t xml:space="preserve">tertium comparationis</w:t>
      </w:r>
      <w:r>
        <w:rPr>
          <w:rFonts w:ascii="Times New Roman" w:cs="Times New Roman" w:eastAsia="Times New Roman" w:hAnsi="Times New Roman"/>
          <w:sz w:val="24"/>
          <w:szCs w:val="24"/>
        </w:rPr>
        <w:t xml:space="preserve"> justifying comparison across divergent metaphysical traditions. Job dismantles Deuteronomic retributive theology through undeserved suffering as a test of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culminating in epistemological transformation through theophanic encounter. Mencius articulates Heaven’s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deliberate pedagogical process for cultivating </w:t>
      </w:r>
      <w:r>
        <w:rPr>
          <w:rFonts w:ascii="Times New Roman" w:cs="Times New Roman" w:eastAsia="Times New Roman" w:hAnsi="Times New Roman"/>
          <w:i/>
          <w:iCs/>
          <w:sz w:val="24"/>
          <w:szCs w:val="24"/>
        </w:rPr>
        <w:t xml:space="preserve">ren</w:t>
      </w:r>
      <w:r>
        <w:rPr>
          <w:rFonts w:ascii="Times New Roman" w:cs="Times New Roman" w:eastAsia="Times New Roman" w:hAnsi="Times New Roman"/>
          <w:sz w:val="24"/>
          <w:szCs w:val="24"/>
        </w:rPr>
        <w:t xml:space="preserve"> (benevolence) and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(righteousness) through structured character formation. While the texts diverge in their conceptions of divine agency, epistemological access, and teleological clarity, their juxtaposition yields a third way in theodicy that resists both retributive determinism and nihilistic meaninglessness. This cross-textual analysis demonstrates how Confucian thought enriches biblical interpretation by illuminating dimensions of Joban theodicy often obscured by Greco-Roman philosophical frameworks.</w:t>
      </w:r>
    </w:p>
    <w:p>
      <w:pPr>
        <w:spacing w:after="240" w:before="240" w:line="48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Job; Mencius; theodicy; cross-textual hermeneutics; moral formation; suffering; comparative religion</w:t>
      </w:r>
    </w:p>
    <w:p>
      <w:pPr>
        <w:spacing w:after="0" w:before="360" w:line="480" w:lineRule="auto"/>
        <w:jc w:val="left"/>
      </w:pPr>
      <w:r>
        <w:rPr>
          <w:rFonts w:ascii="Times New Roman" w:cs="Times New Roman" w:eastAsia="Times New Roman" w:hAnsi="Times New Roman"/>
          <w:b/>
          <w:bCs/>
          <w:sz w:val="24"/>
          <w:szCs w:val="24"/>
        </w:rPr>
        <w:t xml:space="preserve">Introduction</w:t>
      </w:r>
    </w:p>
    <w:p>
      <w:pPr>
        <w:spacing w:line="480" w:lineRule="auto"/>
        <w:ind w:firstLine="720"/>
      </w:pPr>
      <w:r>
        <w:rPr>
          <w:rFonts w:ascii="Times New Roman" w:cs="Times New Roman" w:eastAsia="Times New Roman" w:hAnsi="Times New Roman"/>
          <w:sz w:val="24"/>
          <w:szCs w:val="24"/>
        </w:rPr>
        <w:t xml:space="preserve">The problem of suffering’s relationship to moral formation remains a persistent challenge for religious traditions worldwide. This study investigates how the Book of Job and Mencius’ </w:t>
      </w:r>
      <w:r>
        <w:rPr>
          <w:rFonts w:ascii="Times New Roman" w:cs="Times New Roman" w:eastAsia="Times New Roman" w:hAnsi="Times New Roman"/>
          <w:i/>
          <w:iCs/>
          <w:sz w:val="24"/>
          <w:szCs w:val="24"/>
        </w:rPr>
        <w:t xml:space="preserve">Gaozi Shang</w:t>
      </w:r>
      <w:r>
        <w:rPr>
          <w:rFonts w:ascii="Times New Roman" w:cs="Times New Roman" w:eastAsia="Times New Roman" w:hAnsi="Times New Roman"/>
          <w:sz w:val="24"/>
          <w:szCs w:val="24"/>
        </w:rPr>
        <w:t xml:space="preserve"> illuminate each other through a comparative analysis of Hebrew wisdom literature and early Confucian thought. Western scholars have devoted significant attention to Job’s inquiries about retributive justice, but Mencius’ teachings about adversity and moral formation have received limited comparative analysis alongside biblical texts.</w:t>
      </w:r>
    </w:p>
    <w:p>
      <w:pPr>
        <w:spacing w:line="480" w:lineRule="auto"/>
        <w:ind w:firstLine="720"/>
      </w:pPr>
      <w:r>
        <w:rPr>
          <w:rFonts w:ascii="Times New Roman" w:cs="Times New Roman" w:eastAsia="Times New Roman" w:hAnsi="Times New Roman"/>
          <w:sz w:val="24"/>
          <w:szCs w:val="24"/>
        </w:rPr>
        <w:t xml:space="preserve">Three significant research gaps persist in current scholarship: first, substantial dialogue between ancient Near Eastern wisdom texts and Warring States Chinese philosophy remains underdeveloped; second, Joban theodicy lacks sufficient connection to Confucian moral cultivation frameworks; and third, biblical studies insufficiently engages cross-textual interpretation with non-Abrahamic traditions. Recent comparative theology has begun addressing these gaps; however, the specific pairing of Job and Mencius on theodicy remains underexplored, particularly regarding how each text conceptualizes the role of suffering in moral transformation rather than retribution.</w:t>
      </w:r>
    </w:p>
    <w:p>
      <w:pPr>
        <w:spacing w:line="480" w:lineRule="auto"/>
        <w:ind w:firstLine="720"/>
      </w:pPr>
      <w:r>
        <w:rPr>
          <w:rFonts w:ascii="Times New Roman" w:cs="Times New Roman" w:eastAsia="Times New Roman" w:hAnsi="Times New Roman"/>
          <w:sz w:val="24"/>
          <w:szCs w:val="24"/>
        </w:rPr>
        <w:t xml:space="preserve">This article employs Archie C. C. Lee’s cross-textual hermeneutics as its methodological framework.</w:t>
      </w:r>
      <w:r>
        <w:rPr>
          <w:rStyle w:val="FootnoteReference"/>
        </w:rPr>
        <w:footnoteReference w:id="1"/>
      </w:r>
      <w:r>
        <w:rPr>
          <w:rFonts w:ascii="Times New Roman" w:cs="Times New Roman" w:eastAsia="Times New Roman" w:hAnsi="Times New Roman"/>
          <w:sz w:val="24"/>
          <w:szCs w:val="24"/>
        </w:rPr>
        <w:t xml:space="preserve"> Cross-textual hermeneutics permits dialogue between scriptural traditions while preserving their distinct contexts, avoiding both syncretism and false equivalence—a crucial discipline when comparing texts that emerge from fundamentally different cosmological and soteriological frameworks. The method proceeds by identifying a shared problematic, analyzing each text on its own terms, and allowing mutual illumination to arise from juxtaposition rather than synthesis. The shared problematic here—whether suffering produces or destroys virtue within a cosmically ordered framework, and what role divine agency plays in that process—constitutes the </w:t>
      </w:r>
      <w:r>
        <w:rPr>
          <w:rFonts w:ascii="Times New Roman" w:cs="Times New Roman" w:eastAsia="Times New Roman" w:hAnsi="Times New Roman"/>
          <w:i/>
          <w:iCs/>
          <w:sz w:val="24"/>
          <w:szCs w:val="24"/>
        </w:rPr>
        <w:t xml:space="preserve">tertium comparationis</w:t>
      </w:r>
      <w:r>
        <w:rPr>
          <w:rFonts w:ascii="Times New Roman" w:cs="Times New Roman" w:eastAsia="Times New Roman" w:hAnsi="Times New Roman"/>
          <w:sz w:val="24"/>
          <w:szCs w:val="24"/>
        </w:rPr>
        <w:t xml:space="preserve"> that justifies comparison without requiring metaphysical commensurability. The Book of Job dismantles Deuteronomic retributive theology through its depiction of undeserved suffering as a test of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(integrity), leading to epistemological transformation through theophany. Mencius demonstrates how Heaven employs adversity to develop </w:t>
      </w:r>
      <w:r>
        <w:rPr>
          <w:rFonts w:ascii="Times New Roman" w:cs="Times New Roman" w:eastAsia="Times New Roman" w:hAnsi="Times New Roman"/>
          <w:i/>
          <w:iCs/>
          <w:sz w:val="24"/>
          <w:szCs w:val="24"/>
        </w:rPr>
        <w:t xml:space="preserve">ren</w:t>
      </w:r>
      <w:r>
        <w:rPr>
          <w:rFonts w:ascii="Times New Roman" w:cs="Times New Roman" w:eastAsia="Times New Roman" w:hAnsi="Times New Roman"/>
          <w:sz w:val="24"/>
          <w:szCs w:val="24"/>
        </w:rPr>
        <w:t xml:space="preserve"> (benevolence) and </w:t>
      </w:r>
      <w:r>
        <w:rPr>
          <w:rFonts w:ascii="Times New Roman" w:cs="Times New Roman" w:eastAsia="Times New Roman" w:hAnsi="Times New Roman"/>
          <w:i/>
          <w:iCs/>
          <w:sz w:val="24"/>
          <w:szCs w:val="24"/>
        </w:rPr>
        <w:t xml:space="preserve">yi</w:t>
      </w:r>
      <w:r>
        <w:rPr>
          <w:rFonts w:ascii="Times New Roman" w:cs="Times New Roman" w:eastAsia="Times New Roman" w:hAnsi="Times New Roman"/>
          <w:sz w:val="24"/>
          <w:szCs w:val="24"/>
        </w:rPr>
        <w:t xml:space="preserve"> (righteousness) through systematic character formation. This dialogue generates fresh insights for biblical interpretation and contemporary theological understanding of suffering’s purpose.</w:t>
      </w:r>
    </w:p>
    <w:p>
      <w:pPr>
        <w:spacing w:after="0" w:before="360" w:line="480" w:lineRule="auto"/>
        <w:jc w:val="left"/>
      </w:pPr>
      <w:r>
        <w:rPr>
          <w:rFonts w:ascii="Times New Roman" w:cs="Times New Roman" w:eastAsia="Times New Roman" w:hAnsi="Times New Roman"/>
          <w:b/>
          <w:bCs/>
          <w:sz w:val="24"/>
          <w:szCs w:val="24"/>
        </w:rPr>
        <w:t xml:space="preserve">Job’s Existential Crisis</w:t>
      </w:r>
    </w:p>
    <w:p>
      <w:pPr>
        <w:spacing w:line="480" w:lineRule="auto"/>
        <w:ind w:firstLine="720"/>
      </w:pPr>
      <w:r>
        <w:rPr>
          <w:rFonts w:ascii="Times New Roman" w:cs="Times New Roman" w:eastAsia="Times New Roman" w:hAnsi="Times New Roman"/>
          <w:sz w:val="24"/>
          <w:szCs w:val="24"/>
        </w:rPr>
        <w:t xml:space="preserve">The Book of Job subverts Deuteronomic retribution by showing that suffering creates a moral and theological crisis that exceeds human understanding of cause and effect. The sudden loss of material possessions, physical health, and social status that Job experiences (Job 1:14–17; 2:7–8; 19:13–19) contradicts Israel’s dominant wisdom tradition, which assumed a reliable correspondence between moral behavior and material outcome. Job’s existential breakdown manifests in his movement from being recognized as </w:t>
      </w:r>
      <w:r>
        <w:rPr>
          <w:rFonts w:ascii="Times New Roman" w:cs="Times New Roman" w:eastAsia="Times New Roman" w:hAnsi="Times New Roman"/>
          <w:i/>
          <w:iCs/>
          <w:sz w:val="24"/>
          <w:szCs w:val="24"/>
        </w:rPr>
        <w:t xml:space="preserve">tām</w:t>
      </w:r>
      <w:r>
        <w:rPr>
          <w:rFonts w:ascii="Times New Roman" w:cs="Times New Roman" w:eastAsia="Times New Roman" w:hAnsi="Times New Roman"/>
          <w:sz w:val="24"/>
          <w:szCs w:val="24"/>
        </w:rPr>
        <w:t xml:space="preserve"> (blameless) and </w:t>
      </w:r>
      <w:r>
        <w:rPr>
          <w:rFonts w:ascii="Times New Roman" w:cs="Times New Roman" w:eastAsia="Times New Roman" w:hAnsi="Times New Roman"/>
          <w:i/>
          <w:iCs/>
          <w:sz w:val="24"/>
          <w:szCs w:val="24"/>
        </w:rPr>
        <w:t xml:space="preserve">yāšār</w:t>
      </w:r>
      <w:r>
        <w:rPr>
          <w:rFonts w:ascii="Times New Roman" w:cs="Times New Roman" w:eastAsia="Times New Roman" w:hAnsi="Times New Roman"/>
          <w:sz w:val="24"/>
          <w:szCs w:val="24"/>
        </w:rPr>
        <w:t xml:space="preserve"> (upright)—qualities attesting to wholeness of character (1:1)—to questioning divine justice itself.</w:t>
      </w:r>
    </w:p>
    <w:p>
      <w:pPr>
        <w:spacing w:line="480" w:lineRule="auto"/>
        <w:ind w:firstLine="720"/>
      </w:pPr>
      <w:r>
        <w:rPr>
          <w:rFonts w:ascii="Times New Roman" w:cs="Times New Roman" w:eastAsia="Times New Roman" w:hAnsi="Times New Roman"/>
          <w:sz w:val="24"/>
          <w:szCs w:val="24"/>
        </w:rPr>
        <w:t xml:space="preserve">Central to Job’s crisis is the concept of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(תֻמָּה), the integrity that God himself cites as grounds for the test (2:3). The term denotes not merely moral correctness but wholeness of character—an integration of inner disposition, outward action, and relationship with God that cannot be reduced to rule-following. Job’s protests, far from being failures of faith, preserve this integrity under assault; his refusal to offer false confession demonstrates </w:t>
      </w:r>
      <w:r>
        <w:rPr>
          <w:rFonts w:ascii="Times New Roman" w:cs="Times New Roman" w:eastAsia="Times New Roman" w:hAnsi="Times New Roman"/>
          <w:i/>
          <w:iCs/>
          <w:sz w:val="24"/>
          <w:szCs w:val="24"/>
        </w:rPr>
        <w:t xml:space="preserve">tummâ</w:t>
      </w:r>
      <w:r>
        <w:rPr>
          <w:rFonts w:ascii="Times New Roman" w:cs="Times New Roman" w:eastAsia="Times New Roman" w:hAnsi="Times New Roman"/>
          <w:sz w:val="24"/>
          <w:szCs w:val="24"/>
        </w:rPr>
        <w:t xml:space="preserve"> in its most demanding form.</w:t>
      </w:r>
    </w:p>
    <w:p>
      <w:pPr>
        <w:spacing w:line="480" w:lineRule="auto"/>
        <w:ind w:firstLine="720"/>
      </w:pPr>
      <w:r>
        <w:rPr>
          <w:rFonts w:ascii="Times New Roman" w:cs="Times New Roman" w:eastAsia="Times New Roman" w:hAnsi="Times New Roman"/>
          <w:sz w:val="24"/>
          <w:szCs w:val="24"/>
        </w:rPr>
        <w:t xml:space="preserve">The central conflict arises not from Job’s sin but from competing theological frameworks. Job expresses his anguish through the question “Why do the wicked live on?” (Job 21:7), which fundamentally challenges the retributive system his friends advocate. The friends presume a mechanical moral causality requiring punishment for sin; Job seeks to understand God’s nature beyond simplistic moral equations.</w:t>
      </w:r>
    </w:p>
    <w:p>
      <w:pPr>
        <w:spacing w:line="480" w:lineRule="auto"/>
        <w:ind w:firstLine="720"/>
      </w:pPr>
      <w:r>
        <w:rPr>
          <w:rFonts w:ascii="Times New Roman" w:cs="Times New Roman" w:eastAsia="Times New Roman" w:hAnsi="Times New Roman"/>
          <w:sz w:val="24"/>
          <w:szCs w:val="24"/>
        </w:rPr>
        <w:t xml:space="preserve">Yahweh’s self-disclosure through the whirlwind theophany (Job 38:1–42:6) reorients Job’s attention from human grievance toward divine mystery and worship. The divine inquiry—“Where were you when I laid the earth’s foundation?” (Job 38:4)—situates human suffering within the vastness of cosmic creation. As Newsom observes, this reorientation occurs through overwhelming sensory experience of creation’s vision rather than through moral or doctrinal instruction.</w:t>
      </w:r>
      <w:r>
        <w:rPr>
          <w:rStyle w:val="FootnoteReference"/>
        </w:rPr>
        <w:footnoteReference w:id="2"/>
      </w:r>
      <w:r>
        <w:rPr>
          <w:rFonts w:ascii="Times New Roman" w:cs="Times New Roman" w:eastAsia="Times New Roman" w:hAnsi="Times New Roman"/>
          <w:sz w:val="24"/>
          <w:szCs w:val="24"/>
        </w:rPr>
        <w:t xml:space="preserve"> Job’s confession, “I spoke without understanding” (Job 42:3), demonstrates acquired epistemic humility regarding divine knowledge.</w:t>
      </w:r>
    </w:p>
    <w:p>
      <w:pPr>
        <w:spacing w:line="480" w:lineRule="auto"/>
        <w:ind w:firstLine="720"/>
      </w:pPr>
      <w:r>
        <w:rPr>
          <w:rFonts w:ascii="Times New Roman" w:cs="Times New Roman" w:eastAsia="Times New Roman" w:hAnsi="Times New Roman"/>
          <w:sz w:val="24"/>
          <w:szCs w:val="24"/>
        </w:rPr>
        <w:t xml:space="preserve">Job’s existential journey reveals how unresolved suffering can transform individuals into morally mature agents. Through divine response, God directs Job’s attention toward transcendent mysteries and human cognitive limitations, establishing a theodicy grounded not in explanation but in transformed perspective. Habel notes that the divine speeches function not as answers but as invitations to wonder—a rhetorical strategy that relocates the human questioner within a vastly larger reality.</w:t>
      </w:r>
      <w:r>
        <w:rPr>
          <w:rStyle w:val="FootnoteReference"/>
        </w:rPr>
        <w:footnoteReference w:id="3"/>
      </w:r>
    </w:p>
    <w:p>
      <w:pPr>
        <w:spacing w:after="0" w:before="360" w:line="480" w:lineRule="auto"/>
        <w:jc w:val="left"/>
      </w:pPr>
      <w:r>
        <w:rPr>
          <w:rFonts w:ascii="Times New Roman" w:cs="Times New Roman" w:eastAsia="Times New Roman" w:hAnsi="Times New Roman"/>
          <w:b/>
          <w:bCs/>
          <w:sz w:val="24"/>
          <w:szCs w:val="24"/>
        </w:rPr>
        <w:t xml:space="preserve">Mencius’ Developmental Paradigm</w:t>
      </w:r>
    </w:p>
    <w:p>
      <w:pPr>
        <w:spacing w:line="480" w:lineRule="auto"/>
        <w:ind w:firstLine="720"/>
      </w:pPr>
      <w:r>
        <w:rPr>
          <w:rFonts w:ascii="Times New Roman" w:cs="Times New Roman" w:eastAsia="Times New Roman" w:hAnsi="Times New Roman"/>
          <w:sz w:val="24"/>
          <w:szCs w:val="24"/>
        </w:rPr>
        <w:t xml:space="preserve">Mencius articulates in </w:t>
      </w:r>
      <w:r>
        <w:rPr>
          <w:rFonts w:ascii="Times New Roman" w:cs="Times New Roman" w:eastAsia="Times New Roman" w:hAnsi="Times New Roman"/>
          <w:i/>
          <w:iCs/>
          <w:sz w:val="24"/>
          <w:szCs w:val="24"/>
        </w:rPr>
        <w:t xml:space="preserve">Gaozi Shang</w:t>
      </w:r>
      <w:r>
        <w:rPr>
          <w:rFonts w:ascii="Times New Roman" w:cs="Times New Roman" w:eastAsia="Times New Roman" w:hAnsi="Times New Roman"/>
          <w:sz w:val="24"/>
          <w:szCs w:val="24"/>
        </w:rPr>
        <w:t xml:space="preserve"> that Heaven (</w:t>
      </w:r>
      <w:r>
        <w:rPr>
          <w:rFonts w:ascii="Times New Roman" w:cs="Times New Roman" w:eastAsia="Times New Roman" w:hAnsi="Times New Roman"/>
          <w:i/>
          <w:iCs/>
          <w:sz w:val="24"/>
          <w:szCs w:val="24"/>
        </w:rPr>
        <w:t xml:space="preserve">tian</w:t>
      </w:r>
      <w:r>
        <w:rPr>
          <w:rFonts w:ascii="Times New Roman" w:cs="Times New Roman" w:eastAsia="Times New Roman" w:hAnsi="Times New Roman"/>
          <w:sz w:val="24"/>
          <w:szCs w:val="24"/>
        </w:rPr>
        <w:t xml:space="preserve">) employs suffering as a deliberate pedagogical process to cultivate moral excellence. While Job’s narrative presents suffering as existential crisis leading to theophanic encounter, Mencius frames adversity as purposeful education, developing virtue through structured life experiences.</w:t>
      </w:r>
    </w:p>
    <w:p>
      <w:pPr>
        <w:spacing w:line="480" w:lineRule="auto"/>
        <w:ind w:firstLine="720"/>
      </w:pPr>
      <w:r>
        <w:rPr>
          <w:rFonts w:ascii="Times New Roman" w:cs="Times New Roman" w:eastAsia="Times New Roman" w:hAnsi="Times New Roman"/>
          <w:sz w:val="24"/>
          <w:szCs w:val="24"/>
        </w:rPr>
        <w:t xml:space="preserve">Mencius declares: “When Heaven is about to confer a great responsibility on any man, it will exercise his mind with suffering, subject his sinews and bones to hard work, expose his body to hunger, put him to poverty, place obstacles in the paths of his deeds, to stimulate his mind, harden his nature, and improve wherever he is incompetent” (Mengzi 6B15).</w:t>
      </w:r>
      <w:r>
        <w:rPr>
          <w:rStyle w:val="FootnoteReference"/>
        </w:rPr>
        <w:footnoteReference w:id="4"/>
      </w:r>
      <w:r>
        <w:rPr>
          <w:rFonts w:ascii="Times New Roman" w:cs="Times New Roman" w:eastAsia="Times New Roman" w:hAnsi="Times New Roman"/>
          <w:sz w:val="24"/>
          <w:szCs w:val="24"/>
        </w:rPr>
        <w:t xml:space="preserve"> This process encompasses three interconnected dimensions: mental fortitude (</w:t>
      </w:r>
      <w:r>
        <w:rPr>
          <w:rFonts w:ascii="Times New Roman" w:cs="Times New Roman" w:eastAsia="Times New Roman" w:hAnsi="Times New Roman"/>
          <w:i/>
          <w:iCs/>
          <w:sz w:val="24"/>
          <w:szCs w:val="24"/>
        </w:rPr>
        <w:t xml:space="preserve">kǔ qí xīn zhì</w:t>
      </w:r>
      <w:r>
        <w:rPr>
          <w:rFonts w:ascii="Times New Roman" w:cs="Times New Roman" w:eastAsia="Times New Roman" w:hAnsi="Times New Roman"/>
          <w:sz w:val="24"/>
          <w:szCs w:val="24"/>
        </w:rPr>
        <w:t xml:space="preserve">, 苦其心志), physical endurance (</w:t>
      </w:r>
      <w:r>
        <w:rPr>
          <w:rFonts w:ascii="Times New Roman" w:cs="Times New Roman" w:eastAsia="Times New Roman" w:hAnsi="Times New Roman"/>
          <w:i/>
          <w:iCs/>
          <w:sz w:val="24"/>
          <w:szCs w:val="24"/>
        </w:rPr>
        <w:t xml:space="preserve">láo qí jīn gǔ</w:t>
      </w:r>
      <w:r>
        <w:rPr>
          <w:rFonts w:ascii="Times New Roman" w:cs="Times New Roman" w:eastAsia="Times New Roman" w:hAnsi="Times New Roman"/>
          <w:sz w:val="24"/>
          <w:szCs w:val="24"/>
        </w:rPr>
        <w:t xml:space="preserve">, 勞其筋骨), and skill enhancement (</w:t>
      </w:r>
      <w:r>
        <w:rPr>
          <w:rFonts w:ascii="Times New Roman" w:cs="Times New Roman" w:eastAsia="Times New Roman" w:hAnsi="Times New Roman"/>
          <w:i/>
          <w:iCs/>
          <w:sz w:val="24"/>
          <w:szCs w:val="24"/>
        </w:rPr>
        <w:t xml:space="preserve">zēng yì qí suǒ bù néng</w:t>
      </w:r>
      <w:r>
        <w:rPr>
          <w:rFonts w:ascii="Times New Roman" w:cs="Times New Roman" w:eastAsia="Times New Roman" w:hAnsi="Times New Roman"/>
          <w:sz w:val="24"/>
          <w:szCs w:val="24"/>
        </w:rPr>
        <w:t xml:space="preserve">, 增益不能).</w:t>
      </w:r>
    </w:p>
    <w:p>
      <w:pPr>
        <w:spacing w:line="480" w:lineRule="auto"/>
        <w:ind w:firstLine="720"/>
      </w:pPr>
      <w:r>
        <w:rPr>
          <w:rFonts w:ascii="Times New Roman" w:cs="Times New Roman" w:eastAsia="Times New Roman" w:hAnsi="Times New Roman"/>
          <w:sz w:val="24"/>
          <w:szCs w:val="24"/>
        </w:rPr>
        <w:t xml:space="preserve">Mencius’ self-cultivation framework suggests that individuals achieve moral harmony between their nature and the cosmos through suffering under Heaven’s formation (</w:t>
      </w:r>
      <w:r>
        <w:rPr>
          <w:rFonts w:ascii="Times New Roman" w:cs="Times New Roman" w:eastAsia="Times New Roman" w:hAnsi="Times New Roman"/>
          <w:i/>
          <w:iCs/>
          <w:sz w:val="24"/>
          <w:szCs w:val="24"/>
        </w:rPr>
        <w:t xml:space="preserve">tian gong</w:t>
      </w:r>
      <w:r>
        <w:rPr>
          <w:rFonts w:ascii="Times New Roman" w:cs="Times New Roman" w:eastAsia="Times New Roman" w:hAnsi="Times New Roman"/>
          <w:sz w:val="24"/>
          <w:szCs w:val="24"/>
        </w:rPr>
        <w:t xml:space="preserve">). As Ivanhoe notes, Mencius envisions an integrated psyche uniting cognitive abilities with emotional responses, volitional powers, and spiritual dimensions—adversity functions as the pressure that integrates these dimensions into a coherent moral self.</w:t>
      </w:r>
      <w:r>
        <w:rPr>
          <w:rStyle w:val="FootnoteReference"/>
        </w:rPr>
        <w:footnoteReference w:id="5"/>
      </w:r>
      <w:r>
        <w:rPr>
          <w:rFonts w:ascii="Times New Roman" w:cs="Times New Roman" w:eastAsia="Times New Roman" w:hAnsi="Times New Roman"/>
          <w:sz w:val="24"/>
          <w:szCs w:val="24"/>
        </w:rPr>
        <w:t xml:space="preserve"> While Job encounters an unsolvable divine enigma, Mencius presents suffering as enabling individuals to develop into virtuous leaders prepared for “great responsibility” (</w:t>
      </w:r>
      <w:r>
        <w:rPr>
          <w:rFonts w:ascii="Times New Roman" w:cs="Times New Roman" w:eastAsia="Times New Roman" w:hAnsi="Times New Roman"/>
          <w:i/>
          <w:iCs/>
          <w:sz w:val="24"/>
          <w:szCs w:val="24"/>
        </w:rPr>
        <w:t xml:space="preserve">dà rèn</w:t>
      </w:r>
      <w:r>
        <w:rPr>
          <w:rFonts w:ascii="Times New Roman" w:cs="Times New Roman" w:eastAsia="Times New Roman" w:hAnsi="Times New Roman"/>
          <w:sz w:val="24"/>
          <w:szCs w:val="24"/>
        </w:rPr>
        <w:t xml:space="preserve">, 大任</w:t>
      </w:r>
      <w:r>
        <w:rPr>
          <w:rFonts w:ascii="Times New Roman" w:cs="Times New Roman" w:eastAsia="Times New Roman" w:hAnsi="Times New Roman"/>
          <w:sz w:val="24"/>
          <w:szCs w:val="24"/>
        </w:rPr>
        <w:t xml:space="preserve">). This pedagogical framework assumes that human nature possesses inherent moral capacity—what Mencius calls the “sprouts” (</w:t>
      </w:r>
      <w:r>
        <w:rPr>
          <w:rFonts w:ascii="Times New Roman" w:cs="Times New Roman" w:eastAsia="Times New Roman" w:hAnsi="Times New Roman"/>
          <w:i/>
          <w:iCs/>
          <w:sz w:val="24"/>
          <w:szCs w:val="24"/>
        </w:rPr>
        <w:t xml:space="preserve">duān</w:t>
      </w:r>
      <w:r>
        <w:rPr>
          <w:rFonts w:ascii="Times New Roman" w:cs="Times New Roman" w:eastAsia="Times New Roman" w:hAnsi="Times New Roman"/>
          <w:sz w:val="24"/>
          <w:szCs w:val="24"/>
        </w:rPr>
        <w:t xml:space="preserve">, 端</w:t>
      </w:r>
      <w:r>
        <w:rPr>
          <w:rFonts w:ascii="Times New Roman" w:cs="Times New Roman" w:eastAsia="Times New Roman" w:hAnsi="Times New Roman"/>
          <w:sz w:val="24"/>
          <w:szCs w:val="24"/>
        </w:rPr>
        <w:t xml:space="preserve">) of virtue—requiring refinement through adversity rather than implantation from without.</w:t>
      </w:r>
    </w:p>
    <w:p>
      <w:pPr>
        <w:spacing w:after="0" w:before="360" w:line="480" w:lineRule="auto"/>
        <w:jc w:val="left"/>
      </w:pPr>
      <w:r>
        <w:rPr>
          <w:rFonts w:ascii="Times New Roman" w:cs="Times New Roman" w:eastAsia="Times New Roman" w:hAnsi="Times New Roman"/>
          <w:b/>
          <w:bCs/>
          <w:sz w:val="24"/>
          <w:szCs w:val="24"/>
        </w:rPr>
        <w:t xml:space="preserve">Convergences</w:t>
      </w:r>
    </w:p>
    <w:p>
      <w:pPr>
        <w:spacing w:line="480" w:lineRule="auto"/>
        <w:ind w:firstLine="720"/>
      </w:pPr>
      <w:r>
        <w:rPr>
          <w:rFonts w:ascii="Times New Roman" w:cs="Times New Roman" w:eastAsia="Times New Roman" w:hAnsi="Times New Roman"/>
          <w:sz w:val="24"/>
          <w:szCs w:val="24"/>
        </w:rPr>
        <w:t xml:space="preserve">Despite distinct cultural contexts, Job and Mencius share essential commonalities. Both challenge simplistic moral causality. Job rejects his friends’ assumption that suffering necessarily indicates sin. Mencius opposes virtue practiced for immediate reward, asserting that the noble person maintains righteousness regardless of material circumstances.</w:t>
      </w:r>
      <w:r>
        <w:rPr>
          <w:rStyle w:val="FootnoteReference"/>
        </w:rPr>
        <w:footnoteReference w:id="6"/>
      </w:r>
    </w:p>
    <w:p>
      <w:pPr>
        <w:spacing w:line="480" w:lineRule="auto"/>
        <w:ind w:firstLine="720"/>
      </w:pPr>
      <w:r>
        <w:rPr>
          <w:rFonts w:ascii="Times New Roman" w:cs="Times New Roman" w:eastAsia="Times New Roman" w:hAnsi="Times New Roman"/>
          <w:sz w:val="24"/>
          <w:szCs w:val="24"/>
        </w:rPr>
        <w:t xml:space="preserve">Both traditions situate human moral development within cosmic structures. Job’s theophany establishes that human ethics exist under the authority of divine creation and sovereignty (Job 38–41). Mencius connects human virtue with Heaven’s purposes, declaring: “He who exerts his mind to the utmost knows his nature. He who knows his nature knows Heaven” (Mengzi 7A1).</w:t>
      </w:r>
      <w:r>
        <w:rPr>
          <w:rStyle w:val="FootnoteReference"/>
        </w:rPr>
        <w:footnoteReference w:id="7"/>
      </w:r>
      <w:r>
        <w:rPr>
          <w:rFonts w:ascii="Times New Roman" w:cs="Times New Roman" w:eastAsia="Times New Roman" w:hAnsi="Times New Roman"/>
          <w:sz w:val="24"/>
          <w:szCs w:val="24"/>
        </w:rPr>
        <w:t xml:space="preserve"> Both texts affirm that authentic virtue transcends transactional cost-benefit analysis, thriving even amid adversity. This shared emphasis opposes what might be termed “prosperity theology”—seeking righteousness primarily for material blessing.</w:t>
      </w:r>
    </w:p>
    <w:p>
      <w:pPr>
        <w:spacing w:after="0" w:before="360" w:line="480" w:lineRule="auto"/>
        <w:jc w:val="left"/>
      </w:pPr>
      <w:r>
        <w:rPr>
          <w:rFonts w:ascii="Times New Roman" w:cs="Times New Roman" w:eastAsia="Times New Roman" w:hAnsi="Times New Roman"/>
          <w:b/>
          <w:bCs/>
          <w:sz w:val="24"/>
          <w:szCs w:val="24"/>
        </w:rPr>
        <w:t xml:space="preserve">Divergences</w:t>
      </w:r>
    </w:p>
    <w:p>
      <w:pPr>
        <w:spacing w:line="480" w:lineRule="auto"/>
        <w:ind w:firstLine="720"/>
      </w:pPr>
      <w:r>
        <w:rPr>
          <w:rFonts w:ascii="Times New Roman" w:cs="Times New Roman" w:eastAsia="Times New Roman" w:hAnsi="Times New Roman"/>
          <w:sz w:val="24"/>
          <w:szCs w:val="24"/>
        </w:rPr>
        <w:t xml:space="preserve">Fundamental differences distinguish these texts’ approaches. The divine role in Job presents God as actively transcendent, delivering messages through the whirlwind with overwhelming rhetorical force. Mencius’ Heaven functions more ambiguously, manifesting both as a transcendent moral order and as an immanent principle accessible through self-examination. These incommensurable foundations do not invalidate the comparison; rather, they clarify precisely what each tradition can and cannot offer the other. Where Job’s framework requires a personal God capable of being addressed in legal metaphor, Mencius’ operates through natural process and moral structure—the comparison illuminates what theodicy looks like when the relational frame is removed.</w:t>
      </w:r>
    </w:p>
    <w:p>
      <w:pPr>
        <w:spacing w:line="480" w:lineRule="auto"/>
        <w:ind w:firstLine="720"/>
      </w:pPr>
      <w:r>
        <w:rPr>
          <w:rFonts w:ascii="Times New Roman" w:cs="Times New Roman" w:eastAsia="Times New Roman" w:hAnsi="Times New Roman"/>
          <w:sz w:val="24"/>
          <w:szCs w:val="24"/>
        </w:rPr>
        <w:t xml:space="preserve">Whereas Job encounters divine mystery through overwhelming sensory experience, Mencius presents moral development as an intellectual and volitional process of recognizing one’s original moral nature. This difference reflects divergent epistemologies: Job emphasizes revelation transcending human capacity, while Mencius emphasizes the cultivation of inherent moral knowledge.</w:t>
      </w:r>
    </w:p>
    <w:p>
      <w:pPr>
        <w:spacing w:line="480" w:lineRule="auto"/>
        <w:ind w:firstLine="720"/>
      </w:pPr>
      <w:r>
        <w:rPr>
          <w:rFonts w:ascii="Times New Roman" w:cs="Times New Roman" w:eastAsia="Times New Roman" w:hAnsi="Times New Roman"/>
          <w:sz w:val="24"/>
          <w:szCs w:val="24"/>
        </w:rPr>
        <w:t xml:space="preserve">Job’s narrative climaxes in theological humility and epistemological transformation (Job 42:3–6), leaving suffering’s ultimate purpose mysterious. Mencius, by contrast, explicitly frames suffering as pedagogical preparation for leadership (</w:t>
      </w:r>
      <w:r>
        <w:rPr>
          <w:rFonts w:ascii="Times New Roman" w:cs="Times New Roman" w:eastAsia="Times New Roman" w:hAnsi="Times New Roman"/>
          <w:i/>
          <w:iCs/>
          <w:sz w:val="24"/>
          <w:szCs w:val="24"/>
        </w:rPr>
        <w:t xml:space="preserve">dà rèn</w:t>
      </w:r>
      <w:r>
        <w:rPr>
          <w:rFonts w:ascii="Times New Roman" w:cs="Times New Roman" w:eastAsia="Times New Roman" w:hAnsi="Times New Roman"/>
          <w:sz w:val="24"/>
          <w:szCs w:val="24"/>
        </w:rPr>
        <w:t xml:space="preserve">). Job’s suffering appears initially purposeless, its meaning revealed only retrospectively through divine encounter. Mencius presents suffering as transparently purposeful—Heaven’s curriculum for character formation.</w:t>
      </w:r>
    </w:p>
    <w:p>
      <w:pPr>
        <w:spacing w:line="480" w:lineRule="auto"/>
        <w:ind w:firstLine="720"/>
      </w:pPr>
      <w:r>
        <w:rPr>
          <w:rFonts w:ascii="Times New Roman" w:cs="Times New Roman" w:eastAsia="Times New Roman" w:hAnsi="Times New Roman"/>
          <w:sz w:val="24"/>
          <w:szCs w:val="24"/>
        </w:rPr>
        <w:t xml:space="preserve">As Seow observes, “In contrast to the friends, who stress the twin authority of tradition and community, Job focuses on his personal experience.”</w:t>
      </w:r>
      <w:r>
        <w:rPr>
          <w:rStyle w:val="FootnoteReference"/>
        </w:rPr>
        <w:footnoteReference w:id="8"/>
      </w:r>
      <w:r>
        <w:rPr>
          <w:rFonts w:ascii="Times New Roman" w:cs="Times New Roman" w:eastAsia="Times New Roman" w:hAnsi="Times New Roman"/>
          <w:sz w:val="24"/>
          <w:szCs w:val="24"/>
        </w:rPr>
        <w:t xml:space="preserve"> This individualized and ultimately mysterious revelation contrasts with Mencius’ more publicly legible moral cosmos, where Heaven’s operations can be recognized and consciously participated in.</w:t>
      </w:r>
    </w:p>
    <w:p>
      <w:pPr>
        <w:spacing w:after="0" w:before="360" w:line="480" w:lineRule="auto"/>
        <w:jc w:val="left"/>
      </w:pPr>
      <w:r>
        <w:rPr>
          <w:rFonts w:ascii="Times New Roman" w:cs="Times New Roman" w:eastAsia="Times New Roman" w:hAnsi="Times New Roman"/>
          <w:b/>
          <w:bCs/>
          <w:sz w:val="24"/>
          <w:szCs w:val="24"/>
        </w:rPr>
        <w:t xml:space="preserve">Contributions to Theodicy</w:t>
      </w:r>
    </w:p>
    <w:p>
      <w:pPr>
        <w:spacing w:line="480" w:lineRule="auto"/>
        <w:ind w:firstLine="720"/>
      </w:pPr>
      <w:r>
        <w:rPr>
          <w:rFonts w:ascii="Times New Roman" w:cs="Times New Roman" w:eastAsia="Times New Roman" w:hAnsi="Times New Roman"/>
          <w:sz w:val="24"/>
          <w:szCs w:val="24"/>
        </w:rPr>
        <w:t xml:space="preserve">These texts offer theodicy approaches that transcend Western frameworks. Job’s radical questioning creates a theological crisis, dismantling conventional retributive theology. The heavenly prologue shows God permitting the adversary to test Job (Job 1:6–12), indicating that suffering operates within cosmic dynamics surpassing human explanatory capacity. God’s rebuke of the friends (Job 42:7–8) confirms that suffering patterns defy strict retributive logic.</w:t>
      </w:r>
    </w:p>
    <w:p>
      <w:pPr>
        <w:spacing w:line="480" w:lineRule="auto"/>
        <w:ind w:firstLine="720"/>
      </w:pPr>
      <w:r>
        <w:rPr>
          <w:rFonts w:ascii="Times New Roman" w:cs="Times New Roman" w:eastAsia="Times New Roman" w:hAnsi="Times New Roman"/>
          <w:sz w:val="24"/>
          <w:szCs w:val="24"/>
        </w:rPr>
        <w:t xml:space="preserve">The divine speeches (Job 38–41) reframe theodicy by situating human suffering within creation’s vastness—including untamable creatures like Behemoth and Leviathan. God’s response demands awe before mystery rather than explanatory closure, suggesting theodicy requires epistemological humility rather than systematic explanation.</w:t>
      </w:r>
    </w:p>
    <w:p>
      <w:pPr>
        <w:spacing w:line="480" w:lineRule="auto"/>
        <w:ind w:firstLine="720"/>
      </w:pPr>
      <w:r>
        <w:rPr>
          <w:rFonts w:ascii="Times New Roman" w:cs="Times New Roman" w:eastAsia="Times New Roman" w:hAnsi="Times New Roman"/>
          <w:sz w:val="24"/>
          <w:szCs w:val="24"/>
        </w:rPr>
        <w:t xml:space="preserve">Mencius provides what Job’s narrative withholds: explicit teleology for suffering as an educational process. Heaven’s formation develops leaders prepared for significant responsibility through character-building adversity. This pairing resists Western theodicy’s tendency toward either strict retributive logic (exemplified by Job’s friends) or nihilistic meaninglessness. Instead, the Job-Mencius dialogue suggests a third way: suffering as an invitation to moral transformation within a cosmically ordered framework—combining Job’s insistence on mystery with Mencius’ confidence in purposeful formation.</w:t>
      </w:r>
    </w:p>
    <w:p>
      <w:pPr>
        <w:spacing w:line="480" w:lineRule="auto"/>
        <w:ind w:firstLine="720"/>
      </w:pPr>
      <w:r>
        <w:rPr>
          <w:rFonts w:ascii="Times New Roman" w:cs="Times New Roman" w:eastAsia="Times New Roman" w:hAnsi="Times New Roman"/>
          <w:sz w:val="24"/>
          <w:szCs w:val="24"/>
        </w:rPr>
        <w:t xml:space="preserve">This comparative approach also enables what Sugirtharajah terms “decolonized exegesis”—biblical interpretation enriched by non-Western wisdom traditions rather than confined by Greco-Roman philosophical categories.</w:t>
      </w:r>
      <w:r>
        <w:rPr>
          <w:rStyle w:val="FootnoteReference"/>
        </w:rPr>
        <w:footnoteReference w:id="9"/>
      </w:r>
      <w:r>
        <w:rPr>
          <w:rFonts w:ascii="Times New Roman" w:cs="Times New Roman" w:eastAsia="Times New Roman" w:hAnsi="Times New Roman"/>
          <w:sz w:val="24"/>
          <w:szCs w:val="24"/>
        </w:rPr>
        <w:t xml:space="preserve"> Cross-textual reading with Confucian thought illuminates dimensions of biblical theodicy often obscured by Hellenistic frameworks. Job’s dissenting voice guards against deterministic theodicies that justify all suffering, while Mencius’ structural framework prevents despair by affirming suffering’s formative potential. Together, they model theodicy as dialectical tension rather than systematic resolution.</w:t>
      </w:r>
    </w:p>
    <w:p>
      <w:pPr>
        <w:spacing w:after="0" w:before="360" w:line="480" w:lineRule="auto"/>
        <w:jc w:val="left"/>
      </w:pPr>
      <w:r>
        <w:rPr>
          <w:rFonts w:ascii="Times New Roman" w:cs="Times New Roman" w:eastAsia="Times New Roman" w:hAnsi="Times New Roman"/>
          <w:b/>
          <w:bCs/>
          <w:sz w:val="24"/>
          <w:szCs w:val="24"/>
        </w:rPr>
        <w:t xml:space="preserve">Conclusion</w:t>
      </w:r>
    </w:p>
    <w:p>
      <w:pPr>
        <w:spacing w:line="480" w:lineRule="auto"/>
        <w:ind w:firstLine="720"/>
      </w:pPr>
      <w:r>
        <w:rPr>
          <w:rFonts w:ascii="Times New Roman" w:cs="Times New Roman" w:eastAsia="Times New Roman" w:hAnsi="Times New Roman"/>
          <w:sz w:val="24"/>
          <w:szCs w:val="24"/>
        </w:rPr>
        <w:t xml:space="preserve">The Book of Job and Mencius’ </w:t>
      </w:r>
      <w:r>
        <w:rPr>
          <w:rFonts w:ascii="Times New Roman" w:cs="Times New Roman" w:eastAsia="Times New Roman" w:hAnsi="Times New Roman"/>
          <w:i/>
          <w:iCs/>
          <w:sz w:val="24"/>
          <w:szCs w:val="24"/>
        </w:rPr>
        <w:t xml:space="preserve">Gaozi Shang</w:t>
      </w:r>
      <w:r>
        <w:rPr>
          <w:rFonts w:ascii="Times New Roman" w:cs="Times New Roman" w:eastAsia="Times New Roman" w:hAnsi="Times New Roman"/>
          <w:sz w:val="24"/>
          <w:szCs w:val="24"/>
        </w:rPr>
        <w:t xml:space="preserve"> present a dialectically productive contrast in theodicy and moral formation. Job’s apophatic encounter with divine mystery contrasts with Mencius’ pedagogical confidence in suffering’s developmental purpose. These divergent emphases generate productive tension: Job’s protest prevents facile explanations that trivialize suffering, while Mencius’ framework prevents nihilistic despair by affirming adversity’s formative capacity.</w:t>
      </w:r>
    </w:p>
    <w:p>
      <w:pPr>
        <w:spacing w:line="480" w:lineRule="auto"/>
        <w:ind w:firstLine="720"/>
      </w:pPr>
      <w:r>
        <w:rPr>
          <w:rFonts w:ascii="Times New Roman" w:cs="Times New Roman" w:eastAsia="Times New Roman" w:hAnsi="Times New Roman"/>
          <w:sz w:val="24"/>
          <w:szCs w:val="24"/>
        </w:rPr>
        <w:t xml:space="preserve">Cross-textual analysis demonstrates how contemporary biblical scholarship benefits from dialogue with non-Western traditions, offering interpretive resources beyond Greco-Roman philosophical categories. This comparative methodology enriches both biblical studies and East Asian philosophy, revealing how distinct traditions can mutually illuminate fundamental human questions about suffering, virtue, and divine purpose. The Job-Mencius pairing suggests that theodicy need not choose between mysterious transcendence and transparent teleology—both perspectives together more adequately reflect the complexity of human experience of suffering and its potential for moral transformation.</w:t>
      </w:r>
    </w:p>
    <w:p>
      <w:pPr>
        <w:spacing w:after="0" w:before="480" w:line="480" w:lineRule="auto"/>
      </w:pPr>
      <w:r>
        <w:rPr>
          <w:rFonts w:ascii="Times New Roman" w:cs="Times New Roman" w:eastAsia="Times New Roman" w:hAnsi="Times New Roman"/>
          <w:b/>
          <w:bCs/>
          <w:sz w:val="24"/>
          <w:szCs w:val="24"/>
        </w:rPr>
        <w:t xml:space="preserve">Bibliography</w:t>
      </w:r>
    </w:p>
    <w:p>
      <w:pPr>
        <w:spacing w:line="480" w:lineRule="auto"/>
        <w:ind w:left="720" w:hanging="720"/>
      </w:pPr>
      <w:r>
        <w:rPr>
          <w:rFonts w:ascii="Times New Roman" w:cs="Times New Roman" w:eastAsia="Times New Roman" w:hAnsi="Times New Roman"/>
          <w:sz w:val="24"/>
          <w:szCs w:val="24"/>
        </w:rPr>
        <w:t xml:space="preserve">Chan, Wing-tsit. </w:t>
      </w:r>
      <w:r>
        <w:rPr>
          <w:rFonts w:ascii="Times New Roman" w:cs="Times New Roman" w:eastAsia="Times New Roman" w:hAnsi="Times New Roman"/>
          <w:i/>
          <w:iCs/>
          <w:sz w:val="24"/>
          <w:szCs w:val="24"/>
        </w:rPr>
        <w:t xml:space="preserve">A Source Book in Chinese Philosophy</w:t>
      </w:r>
      <w:r>
        <w:rPr>
          <w:rFonts w:ascii="Times New Roman" w:cs="Times New Roman" w:eastAsia="Times New Roman" w:hAnsi="Times New Roman"/>
          <w:sz w:val="24"/>
          <w:szCs w:val="24"/>
        </w:rPr>
        <w:t xml:space="preserve">. Princeton: Princeton University Press, 1963.</w:t>
      </w:r>
    </w:p>
    <w:p>
      <w:pPr>
        <w:spacing w:line="480" w:lineRule="auto"/>
        <w:ind w:left="720" w:hanging="720"/>
      </w:pPr>
      <w:r>
        <w:rPr>
          <w:rFonts w:ascii="Times New Roman" w:cs="Times New Roman" w:eastAsia="Times New Roman" w:hAnsi="Times New Roman"/>
          <w:sz w:val="24"/>
          <w:szCs w:val="24"/>
        </w:rPr>
        <w:t xml:space="preserve">Clines, David J. A. </w:t>
      </w:r>
      <w:r>
        <w:rPr>
          <w:rFonts w:ascii="Times New Roman" w:cs="Times New Roman" w:eastAsia="Times New Roman" w:hAnsi="Times New Roman"/>
          <w:i/>
          <w:iCs/>
          <w:sz w:val="24"/>
          <w:szCs w:val="24"/>
        </w:rPr>
        <w:t xml:space="preserve">Job 38–42</w:t>
      </w:r>
      <w:r>
        <w:rPr>
          <w:rFonts w:ascii="Times New Roman" w:cs="Times New Roman" w:eastAsia="Times New Roman" w:hAnsi="Times New Roman"/>
          <w:sz w:val="24"/>
          <w:szCs w:val="24"/>
        </w:rPr>
        <w:t xml:space="preserve">. Word Biblical Commentary 18B. Nashville: Thomas Nelson, 2011.</w:t>
      </w:r>
    </w:p>
    <w:p>
      <w:pPr>
        <w:spacing w:line="480" w:lineRule="auto"/>
        <w:ind w:left="720" w:hanging="720"/>
      </w:pPr>
      <w:r>
        <w:rPr>
          <w:rFonts w:ascii="Times New Roman" w:cs="Times New Roman" w:eastAsia="Times New Roman" w:hAnsi="Times New Roman"/>
          <w:sz w:val="24"/>
          <w:szCs w:val="24"/>
        </w:rPr>
        <w:t xml:space="preserve">Habel, Norman C. </w:t>
      </w:r>
      <w:r>
        <w:rPr>
          <w:rFonts w:ascii="Times New Roman" w:cs="Times New Roman" w:eastAsia="Times New Roman" w:hAnsi="Times New Roman"/>
          <w:i/>
          <w:iCs/>
          <w:sz w:val="24"/>
          <w:szCs w:val="24"/>
        </w:rPr>
        <w:t xml:space="preserve">The Book of Job: A Commentary</w:t>
      </w:r>
      <w:r>
        <w:rPr>
          <w:rFonts w:ascii="Times New Roman" w:cs="Times New Roman" w:eastAsia="Times New Roman" w:hAnsi="Times New Roman"/>
          <w:sz w:val="24"/>
          <w:szCs w:val="24"/>
        </w:rPr>
        <w:t xml:space="preserve">. Old Testament Library. Philadelphia: Westminster, 1985.</w:t>
      </w:r>
    </w:p>
    <w:p>
      <w:pPr>
        <w:spacing w:line="480" w:lineRule="auto"/>
        <w:ind w:left="720" w:hanging="720"/>
      </w:pPr>
      <w:r>
        <w:rPr>
          <w:rFonts w:ascii="Times New Roman" w:cs="Times New Roman" w:eastAsia="Times New Roman" w:hAnsi="Times New Roman"/>
          <w:sz w:val="24"/>
          <w:szCs w:val="24"/>
        </w:rPr>
        <w:t xml:space="preserve">Ivanhoe, Philip J. </w:t>
      </w:r>
      <w:r>
        <w:rPr>
          <w:rFonts w:ascii="Times New Roman" w:cs="Times New Roman" w:eastAsia="Times New Roman" w:hAnsi="Times New Roman"/>
          <w:i/>
          <w:iCs/>
          <w:sz w:val="24"/>
          <w:szCs w:val="24"/>
        </w:rPr>
        <w:t xml:space="preserve">Ethics in the Confucian Tradition: The Thought of Mengzi and Wang Yangming</w:t>
      </w:r>
      <w:r>
        <w:rPr>
          <w:rFonts w:ascii="Times New Roman" w:cs="Times New Roman" w:eastAsia="Times New Roman" w:hAnsi="Times New Roman"/>
          <w:sz w:val="24"/>
          <w:szCs w:val="24"/>
        </w:rPr>
        <w:t xml:space="preserve">. 2nd ed. Indianapolis: Hackett, 2002.</w:t>
      </w:r>
    </w:p>
    <w:p>
      <w:pPr>
        <w:spacing w:line="480" w:lineRule="auto"/>
        <w:ind w:left="720" w:hanging="720"/>
      </w:pPr>
      <w:r>
        <w:rPr>
          <w:rFonts w:ascii="Times New Roman" w:cs="Times New Roman" w:eastAsia="Times New Roman" w:hAnsi="Times New Roman"/>
          <w:sz w:val="24"/>
          <w:szCs w:val="24"/>
        </w:rPr>
        <w:t xml:space="preserve">Lee, Archie C. C. “Cross-Textual Hermeneutics and Identity in Multi-Scriptural Asia.” In </w:t>
      </w:r>
      <w:r>
        <w:rPr>
          <w:rFonts w:ascii="Times New Roman" w:cs="Times New Roman" w:eastAsia="Times New Roman" w:hAnsi="Times New Roman"/>
          <w:i/>
          <w:iCs/>
          <w:sz w:val="24"/>
          <w:szCs w:val="24"/>
        </w:rPr>
        <w:t xml:space="preserve">Christian Theology in Asia</w:t>
      </w:r>
      <w:r>
        <w:rPr>
          <w:rFonts w:ascii="Times New Roman" w:cs="Times New Roman" w:eastAsia="Times New Roman" w:hAnsi="Times New Roman"/>
          <w:sz w:val="24"/>
          <w:szCs w:val="24"/>
        </w:rPr>
        <w:t xml:space="preserve">, edited by Sebastian C. H. Kim, 179–204. Cambridge: Cambridge University Press, 2008.</w:t>
      </w:r>
    </w:p>
    <w:p>
      <w:pPr>
        <w:spacing w:line="480" w:lineRule="auto"/>
        <w:ind w:left="720" w:hanging="720"/>
      </w:pPr>
      <w:r>
        <w:rPr>
          <w:rFonts w:ascii="Times New Roman" w:cs="Times New Roman" w:eastAsia="Times New Roman" w:hAnsi="Times New Roman"/>
          <w:sz w:val="24"/>
          <w:szCs w:val="24"/>
        </w:rPr>
        <w:t xml:space="preserve">Newsom, Carol A. </w:t>
      </w:r>
      <w:r>
        <w:rPr>
          <w:rFonts w:ascii="Times New Roman" w:cs="Times New Roman" w:eastAsia="Times New Roman" w:hAnsi="Times New Roman"/>
          <w:i/>
          <w:iCs/>
          <w:sz w:val="24"/>
          <w:szCs w:val="24"/>
        </w:rPr>
        <w:t xml:space="preserve">The Book of Job: A Contest of Moral Imaginations</w:t>
      </w:r>
      <w:r>
        <w:rPr>
          <w:rFonts w:ascii="Times New Roman" w:cs="Times New Roman" w:eastAsia="Times New Roman" w:hAnsi="Times New Roman"/>
          <w:sz w:val="24"/>
          <w:szCs w:val="24"/>
        </w:rPr>
        <w:t xml:space="preserve">. New York: Oxford University Press, 2003.</w:t>
      </w:r>
    </w:p>
    <w:p>
      <w:pPr>
        <w:spacing w:line="480" w:lineRule="auto"/>
        <w:ind w:left="720" w:hanging="720"/>
      </w:pPr>
      <w:r>
        <w:rPr>
          <w:rFonts w:ascii="Times New Roman" w:cs="Times New Roman" w:eastAsia="Times New Roman" w:hAnsi="Times New Roman"/>
          <w:sz w:val="24"/>
          <w:szCs w:val="24"/>
        </w:rPr>
        <w:t xml:space="preserve">Seow, Choon-Leong. </w:t>
      </w:r>
      <w:r>
        <w:rPr>
          <w:rFonts w:ascii="Times New Roman" w:cs="Times New Roman" w:eastAsia="Times New Roman" w:hAnsi="Times New Roman"/>
          <w:i/>
          <w:iCs/>
          <w:sz w:val="24"/>
          <w:szCs w:val="24"/>
        </w:rPr>
        <w:t xml:space="preserve">Job 1–21: Interpretation and Commentary</w:t>
      </w:r>
      <w:r>
        <w:rPr>
          <w:rFonts w:ascii="Times New Roman" w:cs="Times New Roman" w:eastAsia="Times New Roman" w:hAnsi="Times New Roman"/>
          <w:sz w:val="24"/>
          <w:szCs w:val="24"/>
        </w:rPr>
        <w:t xml:space="preserve">. Illuminations. Grand Rapids: Eerdmans, 2013.</w:t>
      </w:r>
    </w:p>
    <w:p>
      <w:pPr>
        <w:spacing w:line="480" w:lineRule="auto"/>
        <w:ind w:left="720" w:hanging="720"/>
      </w:pPr>
      <w:r>
        <w:rPr>
          <w:rFonts w:ascii="Times New Roman" w:cs="Times New Roman" w:eastAsia="Times New Roman" w:hAnsi="Times New Roman"/>
          <w:sz w:val="24"/>
          <w:szCs w:val="24"/>
        </w:rPr>
        <w:t xml:space="preserve">Sugirtharajah, R. S. </w:t>
      </w:r>
      <w:r>
        <w:rPr>
          <w:rFonts w:ascii="Times New Roman" w:cs="Times New Roman" w:eastAsia="Times New Roman" w:hAnsi="Times New Roman"/>
          <w:i/>
          <w:iCs/>
          <w:sz w:val="24"/>
          <w:szCs w:val="24"/>
        </w:rPr>
        <w:t xml:space="preserve">The Bible and the Third World: Precolonial, Colonial, and Postcolonial Encounters</w:t>
      </w:r>
      <w:r>
        <w:rPr>
          <w:rFonts w:ascii="Times New Roman" w:cs="Times New Roman" w:eastAsia="Times New Roman" w:hAnsi="Times New Roman"/>
          <w:sz w:val="24"/>
          <w:szCs w:val="24"/>
        </w:rPr>
        <w:t xml:space="preserve">. Cambridge: Cambridge University Press, 2001.</w:t>
      </w:r>
    </w:p>
    <w:p>
      <w:pPr>
        <w:spacing w:line="480" w:lineRule="auto"/>
        <w:ind w:left="720" w:hanging="720"/>
      </w:pPr>
      <w:r>
        <w:rPr>
          <w:rFonts w:ascii="Times New Roman" w:cs="Times New Roman" w:eastAsia="Times New Roman" w:hAnsi="Times New Roman"/>
          <w:sz w:val="24"/>
          <w:szCs w:val="24"/>
        </w:rPr>
        <w:t xml:space="preserve">Van Norden, Bryan W., trans. </w:t>
      </w:r>
      <w:r>
        <w:rPr>
          <w:rFonts w:ascii="Times New Roman" w:cs="Times New Roman" w:eastAsia="Times New Roman" w:hAnsi="Times New Roman"/>
          <w:i/>
          <w:iCs/>
          <w:sz w:val="24"/>
          <w:szCs w:val="24"/>
        </w:rPr>
        <w:t xml:space="preserve">Mengzi: With Selections from Traditional Commentaries</w:t>
      </w:r>
      <w:r>
        <w:rPr>
          <w:rFonts w:ascii="Times New Roman" w:cs="Times New Roman" w:eastAsia="Times New Roman" w:hAnsi="Times New Roman"/>
          <w:sz w:val="24"/>
          <w:szCs w:val="24"/>
        </w:rPr>
        <w:t xml:space="preserve">. Indianapolis: Hackett,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360" w:hanging="360"/>
      </w:pPr>
      <w:r>
        <w:rPr>
          <w:rStyle w:val="FootnoteReference"/>
        </w:rPr>
        <w:footnoteRef/>
      </w:r>
      <w:r>
        <w:rPr>
          <w:rFonts w:ascii="Times New Roman" w:cs="Times New Roman" w:eastAsia="Times New Roman" w:hAnsi="Times New Roman"/>
          <w:sz w:val="20"/>
          <w:szCs w:val="20"/>
        </w:rPr>
        <w:t xml:space="preserve">Archie C. C. Lee, “Cross-Textual Hermeneutics and Identity in Multi-Scriptural Asia,” in </w:t>
      </w:r>
      <w:r>
        <w:rPr>
          <w:rFonts w:ascii="Times New Roman" w:cs="Times New Roman" w:eastAsia="Times New Roman" w:hAnsi="Times New Roman"/>
          <w:i/>
          <w:iCs/>
          <w:sz w:val="20"/>
          <w:szCs w:val="20"/>
        </w:rPr>
        <w:t xml:space="preserve">Christian Theology in Asia</w:t>
      </w:r>
      <w:r>
        <w:rPr>
          <w:rFonts w:ascii="Times New Roman" w:cs="Times New Roman" w:eastAsia="Times New Roman" w:hAnsi="Times New Roman"/>
          <w:sz w:val="20"/>
          <w:szCs w:val="20"/>
        </w:rPr>
        <w:t xml:space="preserve">, ed. Sebastian C. H. Kim (Cambridge: Cambridge University Press, 2008), 179–204.</w:t>
      </w:r>
    </w:p>
  </w:footnote>
  <w:footnote w:id="2">
    <w:p>
      <w:pPr>
        <w:spacing w:line="240"/>
        <w:ind w:left="360" w:hanging="360"/>
      </w:pPr>
      <w:r>
        <w:rPr>
          <w:rStyle w:val="FootnoteReference"/>
        </w:rPr>
        <w:footnoteRef/>
      </w:r>
      <w:r>
        <w:rPr>
          <w:rFonts w:ascii="Times New Roman" w:cs="Times New Roman" w:eastAsia="Times New Roman" w:hAnsi="Times New Roman"/>
          <w:sz w:val="20"/>
          <w:szCs w:val="20"/>
        </w:rPr>
        <w:t xml:space="preserve">Carol A. Newsom, </w:t>
      </w:r>
      <w:r>
        <w:rPr>
          <w:rFonts w:ascii="Times New Roman" w:cs="Times New Roman" w:eastAsia="Times New Roman" w:hAnsi="Times New Roman"/>
          <w:i/>
          <w:iCs/>
          <w:sz w:val="20"/>
          <w:szCs w:val="20"/>
        </w:rPr>
        <w:t xml:space="preserve">The Book of Job: A Contest of Moral Imaginations</w:t>
      </w:r>
      <w:r>
        <w:rPr>
          <w:rFonts w:ascii="Times New Roman" w:cs="Times New Roman" w:eastAsia="Times New Roman" w:hAnsi="Times New Roman"/>
          <w:sz w:val="20"/>
          <w:szCs w:val="20"/>
        </w:rPr>
        <w:t xml:space="preserve"> (New York: Oxford University Press, 2003), 236–37.</w:t>
      </w:r>
    </w:p>
  </w:footnote>
  <w:footnote w:id="3">
    <w:p>
      <w:pPr>
        <w:spacing w:line="240"/>
        <w:ind w:left="360" w:hanging="360"/>
      </w:pPr>
      <w:r>
        <w:rPr>
          <w:rStyle w:val="FootnoteReference"/>
        </w:rPr>
        <w:footnoteRef/>
      </w:r>
      <w:r>
        <w:rPr>
          <w:rFonts w:ascii="Times New Roman" w:cs="Times New Roman" w:eastAsia="Times New Roman" w:hAnsi="Times New Roman"/>
          <w:sz w:val="20"/>
          <w:szCs w:val="20"/>
        </w:rPr>
        <w:t xml:space="preserve">Norman C. Habel, </w:t>
      </w:r>
      <w:r>
        <w:rPr>
          <w:rFonts w:ascii="Times New Roman" w:cs="Times New Roman" w:eastAsia="Times New Roman" w:hAnsi="Times New Roman"/>
          <w:i/>
          <w:iCs/>
          <w:sz w:val="20"/>
          <w:szCs w:val="20"/>
        </w:rPr>
        <w:t xml:space="preserve">The Book of Job: A Commentary</w:t>
      </w:r>
      <w:r>
        <w:rPr>
          <w:rFonts w:ascii="Times New Roman" w:cs="Times New Roman" w:eastAsia="Times New Roman" w:hAnsi="Times New Roman"/>
          <w:sz w:val="20"/>
          <w:szCs w:val="20"/>
        </w:rPr>
        <w:t xml:space="preserve">, OTL (Philadelphia: Westminster, 1985), 540–41.</w:t>
      </w:r>
    </w:p>
  </w:footnote>
  <w:footnote w:id="4">
    <w:p>
      <w:pPr>
        <w:spacing w:line="240"/>
        <w:ind w:left="360" w:hanging="360"/>
      </w:pPr>
      <w:r>
        <w:rPr>
          <w:rStyle w:val="FootnoteReference"/>
        </w:rPr>
        <w:footnoteRef/>
      </w:r>
      <w:r>
        <w:rPr>
          <w:rFonts w:ascii="Times New Roman" w:cs="Times New Roman" w:eastAsia="Times New Roman" w:hAnsi="Times New Roman"/>
          <w:sz w:val="20"/>
          <w:szCs w:val="20"/>
        </w:rPr>
        <w:t xml:space="preserve">Bryan W. Van Norden, trans., </w:t>
      </w:r>
      <w:r>
        <w:rPr>
          <w:rFonts w:ascii="Times New Roman" w:cs="Times New Roman" w:eastAsia="Times New Roman" w:hAnsi="Times New Roman"/>
          <w:i/>
          <w:iCs/>
          <w:sz w:val="20"/>
          <w:szCs w:val="20"/>
        </w:rPr>
        <w:t xml:space="preserve">Mengzi: With Selections from Traditional Commentaries</w:t>
      </w:r>
      <w:r>
        <w:rPr>
          <w:rFonts w:ascii="Times New Roman" w:cs="Times New Roman" w:eastAsia="Times New Roman" w:hAnsi="Times New Roman"/>
          <w:sz w:val="20"/>
          <w:szCs w:val="20"/>
        </w:rPr>
        <w:t xml:space="preserve"> (Indianapolis: Hackett, 2008), 162 (Mengzi 6B15).</w:t>
      </w:r>
    </w:p>
  </w:footnote>
  <w:footnote w:id="5">
    <w:p>
      <w:pPr>
        <w:spacing w:line="240"/>
        <w:ind w:left="360" w:hanging="360"/>
      </w:pPr>
      <w:r>
        <w:rPr>
          <w:rStyle w:val="FootnoteReference"/>
        </w:rPr>
        <w:footnoteRef/>
      </w:r>
      <w:r>
        <w:rPr>
          <w:rFonts w:ascii="Times New Roman" w:cs="Times New Roman" w:eastAsia="Times New Roman" w:hAnsi="Times New Roman"/>
          <w:sz w:val="20"/>
          <w:szCs w:val="20"/>
        </w:rPr>
        <w:t xml:space="preserve">Philip J. Ivanhoe, </w:t>
      </w:r>
      <w:r>
        <w:rPr>
          <w:rFonts w:ascii="Times New Roman" w:cs="Times New Roman" w:eastAsia="Times New Roman" w:hAnsi="Times New Roman"/>
          <w:i/>
          <w:iCs/>
          <w:sz w:val="20"/>
          <w:szCs w:val="20"/>
        </w:rPr>
        <w:t xml:space="preserve">Ethics in the Confucian Tradition: The Thought of Mengzi and Wang Yangming</w:t>
      </w:r>
      <w:r>
        <w:rPr>
          <w:rFonts w:ascii="Times New Roman" w:cs="Times New Roman" w:eastAsia="Times New Roman" w:hAnsi="Times New Roman"/>
          <w:sz w:val="20"/>
          <w:szCs w:val="20"/>
        </w:rPr>
        <w:t xml:space="preserve">, 2nd ed. (Indianapolis: Hackett, 2002), 89.</w:t>
      </w:r>
    </w:p>
  </w:footnote>
  <w:footnote w:id="6">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2 (Mengzi 1A1).</w:t>
      </w:r>
    </w:p>
  </w:footnote>
  <w:footnote w:id="7">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170 (Mengzi 7A1).</w:t>
      </w:r>
    </w:p>
  </w:footnote>
  <w:footnote w:id="8">
    <w:p>
      <w:pPr>
        <w:spacing w:line="240"/>
        <w:ind w:left="360" w:hanging="360"/>
      </w:pPr>
      <w:r>
        <w:rPr>
          <w:rStyle w:val="FootnoteReference"/>
        </w:rPr>
        <w:footnoteRef/>
      </w:r>
      <w:r>
        <w:rPr>
          <w:rFonts w:ascii="Times New Roman" w:cs="Times New Roman" w:eastAsia="Times New Roman" w:hAnsi="Times New Roman"/>
          <w:sz w:val="20"/>
          <w:szCs w:val="20"/>
        </w:rPr>
        <w:t xml:space="preserve">Choon-Leong Seow, </w:t>
      </w:r>
      <w:r>
        <w:rPr>
          <w:rFonts w:ascii="Times New Roman" w:cs="Times New Roman" w:eastAsia="Times New Roman" w:hAnsi="Times New Roman"/>
          <w:i/>
          <w:iCs/>
          <w:sz w:val="20"/>
          <w:szCs w:val="20"/>
        </w:rPr>
        <w:t xml:space="preserve">Job 1–21: Interpretation and Commentary</w:t>
      </w:r>
      <w:r>
        <w:rPr>
          <w:rFonts w:ascii="Times New Roman" w:cs="Times New Roman" w:eastAsia="Times New Roman" w:hAnsi="Times New Roman"/>
          <w:sz w:val="20"/>
          <w:szCs w:val="20"/>
        </w:rPr>
        <w:t xml:space="preserve">, Illuminations (Grand Rapids: Eerdmans, 2013), 97.</w:t>
      </w:r>
    </w:p>
  </w:footnote>
  <w:footnote w:id="9">
    <w:p>
      <w:pPr>
        <w:spacing w:line="240"/>
        <w:ind w:left="360" w:hanging="360"/>
      </w:pPr>
      <w:r>
        <w:rPr>
          <w:rStyle w:val="FootnoteReference"/>
        </w:rPr>
        <w:footnoteRef/>
      </w:r>
      <w:r>
        <w:rPr>
          <w:rFonts w:ascii="Times New Roman" w:cs="Times New Roman" w:eastAsia="Times New Roman" w:hAnsi="Times New Roman"/>
          <w:sz w:val="20"/>
          <w:szCs w:val="20"/>
        </w:rPr>
        <w:t xml:space="preserve">R. S. Sugirtharajah, </w:t>
      </w:r>
      <w:r>
        <w:rPr>
          <w:rFonts w:ascii="Times New Roman" w:cs="Times New Roman" w:eastAsia="Times New Roman" w:hAnsi="Times New Roman"/>
          <w:i/>
          <w:iCs/>
          <w:sz w:val="20"/>
          <w:szCs w:val="20"/>
        </w:rPr>
        <w:t xml:space="preserve">The Bible and the Third World: Precolonial, Colonial, and Postcolonial Encounters</w:t>
      </w:r>
      <w:r>
        <w:rPr>
          <w:rFonts w:ascii="Times New Roman" w:cs="Times New Roman" w:eastAsia="Times New Roman" w:hAnsi="Times New Roman"/>
          <w:sz w:val="20"/>
          <w:szCs w:val="20"/>
        </w:rPr>
        <w:t xml:space="preserve"> (Cambridge: Cambridge University Press, 2001), 246–48.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2026-06-09T20:27:27.758Z</dcterms:created>
  <dcterms:modified xsi:type="dcterms:W3CDTF">2026-06-09T20:27:27.759Z</dcterms:modified>
</cp:coreProperties>
</file>

<file path=docProps/custom.xml><?xml version="1.0" encoding="utf-8"?>
<Properties xmlns="http://schemas.openxmlformats.org/officeDocument/2006/custom-properties" xmlns:vt="http://schemas.openxmlformats.org/officeDocument/2006/docPropsVTypes"/>
</file>