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480" w:lineRule="auto"/>
        <w:jc w:val="center"/>
      </w:pPr>
      <w:r>
        <w:rPr>
          <w:rFonts w:ascii="SimSun" w:cs="SimSun" w:eastAsia="SimSun" w:hAnsi="SimSun"/>
          <w:b/>
          <w:bCs/>
          <w:sz w:val="24"/>
          <w:szCs w:val="24"/>
        </w:rPr>
        <w:t xml:space="preserve">苦难中的神圣旨意：《约伯记》与《孟子》神义论与道德成长之跨文本研究</w:t>
      </w:r>
    </w:p>
    <w:p>
      <w:pPr>
        <w:spacing w:after="240" w:before="0" w:line="480" w:lineRule="auto"/>
        <w:jc w:val="center"/>
      </w:pPr>
      <w:r>
        <w:rPr>
          <w:rFonts w:ascii="SimSun" w:cs="SimSun" w:eastAsia="SimSun" w:hAnsi="SimSun"/>
          <w:sz w:val="24"/>
          <w:szCs w:val="24"/>
        </w:rPr>
        <w:t xml:space="preserve">(Divine Purpose in Human Suffering: Theodicy and Moral Formation in Job and Mencius)</w:t>
      </w:r>
    </w:p>
    <w:p>
      <w:pPr>
        <w:spacing w:after="480" w:before="0" w:line="480" w:lineRule="auto"/>
        <w:jc w:val="center"/>
      </w:pPr>
      <w:r>
        <w:rPr>
          <w:rFonts w:ascii="SimSun" w:cs="SimSun" w:eastAsia="SimSun" w:hAnsi="SimSun"/>
          <w:b/>
          <w:bCs/>
          <w:sz w:val="24"/>
          <w:szCs w:val="24"/>
        </w:rPr>
        <w:t xml:space="preserve">侯利民</w:t>
      </w:r>
    </w:p>
    <w:p>
      <w:pPr>
        <w:spacing w:after="0" w:before="0" w:line="480" w:lineRule="auto"/>
      </w:pPr>
      <w:r>
        <w:rPr>
          <w:rFonts w:ascii="SimSun" w:cs="SimSun" w:eastAsia="SimSun" w:hAnsi="SimSun"/>
          <w:b/>
          <w:bCs/>
          <w:sz w:val="24"/>
          <w:szCs w:val="24"/>
        </w:rPr>
        <w:t xml:space="preserve">摘要 (Abstract)</w:t>
      </w:r>
    </w:p>
    <w:p>
      <w:pPr>
        <w:spacing w:line="480" w:lineRule="auto"/>
        <w:ind w:firstLine="720"/>
      </w:pPr>
      <w:r>
        <w:rPr>
          <w:rFonts w:ascii="SimSun" w:cs="SimSun" w:eastAsia="SimSun" w:hAnsi="SimSun"/>
          <w:sz w:val="24"/>
          <w:szCs w:val="24"/>
        </w:rPr>
        <w:t xml:space="preserve">本文运用跨文本诠释学 (cross-textual hermeneutics)，对《约伯记》与《孟子·告子下》第十五章进行比较研究，论证这两部文本就苦难在道德成长 (moral formation) 中所扮演的角色提供了一种生产性张力 (productive tension) 而非可综合的单一答案。此前叶利 (Lee Yearley) 在《约伯与孔子》(1981) 一文中曾以亚里士多德美德伦理学为框架比较约伯与孔子，证明美德可独立于物质回报；本文在此基础上推进，以李炽昌 (Archie C. C. Lee) 的跨文本诠释学取代外加的哲学框架，以《孟子·告子下》6B15取代《论语》，并以约伯记23:10（</w:t>
      </w:r>
      <w:r>
        <w:rPr>
          <w:rFonts w:ascii="SimSun" w:cs="SimSun" w:eastAsia="SimSun" w:hAnsi="SimSun"/>
          <w:sz w:val="24"/>
          <w:szCs w:val="24"/>
        </w:rPr>
        <w:t xml:space="preserve">“他试炼我之后，我必如精金出来”</w:t>
      </w:r>
      <w:r>
        <w:rPr>
          <w:rFonts w:ascii="SimSun" w:cs="SimSun" w:eastAsia="SimSun" w:hAnsi="SimSun"/>
          <w:sz w:val="24"/>
          <w:szCs w:val="24"/>
        </w:rPr>
        <w:t xml:space="preserve">；כִּי בְחָנַנִי כַּזָּהָב אֵצֵא）为关键示范文本，揭示孟子式阅读如何使约伯文本中被希腊罗马框架所遮蔽的目的论本能 (teleological instinct) 得以浮现。</w:t>
      </w:r>
    </w:p>
    <w:p>
      <w:pPr>
        <w:spacing w:line="480" w:lineRule="auto"/>
        <w:ind w:firstLine="720"/>
      </w:pPr>
      <w:r>
        <w:rPr>
          <w:rFonts w:ascii="SimSun" w:cs="SimSun" w:eastAsia="SimSun" w:hAnsi="SimSun"/>
          <w:sz w:val="24"/>
          <w:szCs w:val="24"/>
        </w:rPr>
        <w:t xml:space="preserve">《约伯记》描绘无辜受苦者以彰显“完整性” (</w:t>
      </w:r>
      <w:r>
        <w:rPr>
          <w:rFonts w:ascii="SimSun" w:cs="SimSun" w:eastAsia="SimSun" w:hAnsi="SimSun"/>
          <w:i/>
          <w:iCs/>
          <w:sz w:val="24"/>
          <w:szCs w:val="24"/>
        </w:rPr>
        <w:t xml:space="preserve">tummâ</w:t>
      </w:r>
      <w:r>
        <w:rPr>
          <w:rFonts w:ascii="SimSun" w:cs="SimSun" w:eastAsia="SimSun" w:hAnsi="SimSun"/>
          <w:sz w:val="24"/>
          <w:szCs w:val="24"/>
        </w:rPr>
        <w:t xml:space="preserve">, תֻמָּה) 的神圣考验，拆解了申命记式报应神学 (Deuteronomic retributive theology)，并在神显 (theophany) 经历中实现知识论 (epistemology) 的转化。孟子则阐明，天 (</w:t>
      </w:r>
      <w:r>
        <w:rPr>
          <w:rFonts w:ascii="SimSun" w:cs="SimSun" w:eastAsia="SimSun" w:hAnsi="SimSun"/>
          <w:i/>
          <w:iCs/>
          <w:sz w:val="24"/>
          <w:szCs w:val="24"/>
        </w:rPr>
        <w:t xml:space="preserve">tian</w:t>
      </w:r>
      <w:r>
        <w:rPr>
          <w:rFonts w:ascii="SimSun" w:cs="SimSun" w:eastAsia="SimSun" w:hAnsi="SimSun"/>
          <w:sz w:val="24"/>
          <w:szCs w:val="24"/>
        </w:rPr>
        <w:t xml:space="preserve">, Heaven) 借助系统性的品格塑造将逆境作为培育仁 (</w:t>
      </w:r>
      <w:r>
        <w:rPr>
          <w:rFonts w:ascii="SimSun" w:cs="SimSun" w:eastAsia="SimSun" w:hAnsi="SimSun"/>
          <w:i/>
          <w:iCs/>
          <w:sz w:val="24"/>
          <w:szCs w:val="24"/>
        </w:rPr>
        <w:t xml:space="preserve">ren</w:t>
      </w:r>
      <w:r>
        <w:rPr>
          <w:rFonts w:ascii="SimSun" w:cs="SimSun" w:eastAsia="SimSun" w:hAnsi="SimSun"/>
          <w:sz w:val="24"/>
          <w:szCs w:val="24"/>
        </w:rPr>
        <w:t xml:space="preserve">, benevolence) 与义 (</w:t>
      </w:r>
      <w:r>
        <w:rPr>
          <w:rFonts w:ascii="SimSun" w:cs="SimSun" w:eastAsia="SimSun" w:hAnsi="SimSun"/>
          <w:i/>
          <w:iCs/>
          <w:sz w:val="24"/>
          <w:szCs w:val="24"/>
        </w:rPr>
        <w:t xml:space="preserve">yi</w:t>
      </w:r>
      <w:r>
        <w:rPr>
          <w:rFonts w:ascii="SimSun" w:cs="SimSun" w:eastAsia="SimSun" w:hAnsi="SimSun"/>
          <w:sz w:val="24"/>
          <w:szCs w:val="24"/>
        </w:rPr>
        <w:t xml:space="preserve">, righteousness) 的刻意教化手段。“完整性” (</w:t>
      </w:r>
      <w:r>
        <w:rPr>
          <w:rFonts w:ascii="SimSun" w:cs="SimSun" w:eastAsia="SimSun" w:hAnsi="SimSun"/>
          <w:i/>
          <w:iCs/>
          <w:sz w:val="24"/>
          <w:szCs w:val="24"/>
        </w:rPr>
        <w:t xml:space="preserve">tummâ</w:t>
      </w:r>
      <w:r>
        <w:rPr>
          <w:rFonts w:ascii="SimSun" w:cs="SimSun" w:eastAsia="SimSun" w:hAnsi="SimSun"/>
          <w:sz w:val="24"/>
          <w:szCs w:val="24"/>
        </w:rPr>
        <w:t xml:space="preserve">) 与“端” (</w:t>
      </w:r>
      <w:r>
        <w:rPr>
          <w:rFonts w:ascii="SimSun" w:cs="SimSun" w:eastAsia="SimSun" w:hAnsi="SimSun"/>
          <w:i/>
          <w:iCs/>
          <w:sz w:val="24"/>
          <w:szCs w:val="24"/>
        </w:rPr>
        <w:t xml:space="preserve">duān</w:t>
      </w:r>
      <w:r>
        <w:rPr>
          <w:rFonts w:ascii="SimSun" w:cs="SimSun" w:eastAsia="SimSun" w:hAnsi="SimSun"/>
          <w:sz w:val="24"/>
          <w:szCs w:val="24"/>
        </w:rPr>
        <w:t xml:space="preserve">, moral sprouts) 之间的结构性平行——两者皆为苦难所精炼而非创造之品质——构成本研究的核心原创性贡献。尽管两部文本在神圣力量的本质、知识论进路及目的论清晰度上存在根本分歧，二者的并置产生了一种生产性张力：约伯阻止孟子框架的过度系统化，孟子防止约伯叙事滑向虚无主义 (nihilism)。这一跨文化诠释学 (cross-cultural hermeneutics) 研究表明，儒家思想能够丰富圣经诠释，揭示出长期被希腊罗马哲学框架所遮蔽的约伯神义论层面。</w:t>
      </w:r>
    </w:p>
    <w:p>
      <w:pPr>
        <w:spacing w:after="240" w:before="240" w:line="480" w:lineRule="auto"/>
      </w:pPr>
      <w:r>
        <w:rPr>
          <w:rFonts w:ascii="SimSun" w:cs="SimSun" w:eastAsia="SimSun" w:hAnsi="SimSun"/>
          <w:b/>
          <w:bCs/>
          <w:sz w:val="24"/>
          <w:szCs w:val="24"/>
        </w:rPr>
        <w:t xml:space="preserve">关键词 (Keywords)：</w:t>
      </w:r>
      <w:r>
        <w:rPr>
          <w:rFonts w:ascii="SimSun" w:cs="SimSun" w:eastAsia="SimSun" w:hAnsi="SimSun"/>
          <w:sz w:val="24"/>
          <w:szCs w:val="24"/>
        </w:rPr>
        <w:t xml:space="preserve">约伯记 (Job)；孟子 (Mencius)；神义论 (theodicy)；跨文本诠释学 (cross-textual hermeneutics)；道德成长 (moral formation)；苦难 (suffering)；生产性张力 (productive tension)；跨文化诠释学 (cross-cultural hermeneutics)；比较宗教学 (comparative religion)</w:t>
      </w:r>
    </w:p>
    <w:p>
      <w:pPr>
        <w:spacing w:after="0" w:before="360" w:line="480" w:lineRule="auto"/>
      </w:pPr>
      <w:r>
        <w:rPr>
          <w:rFonts w:ascii="SimSun" w:cs="SimSun" w:eastAsia="SimSun" w:hAnsi="SimSun"/>
          <w:b/>
          <w:bCs/>
          <w:sz w:val="24"/>
          <w:szCs w:val="24"/>
        </w:rPr>
        <w:t xml:space="preserve">一、引言 (Introduction)</w:t>
      </w:r>
    </w:p>
    <w:p>
      <w:pPr>
        <w:spacing w:line="480" w:lineRule="auto"/>
        <w:ind w:firstLine="720"/>
      </w:pPr>
      <w:r>
        <w:rPr>
          <w:rFonts w:ascii="SimSun" w:cs="SimSun" w:eastAsia="SimSun" w:hAnsi="SimSun"/>
          <w:sz w:val="24"/>
          <w:szCs w:val="24"/>
        </w:rPr>
        <w:t xml:space="preserve">苦难与道德成长之关系，是世界各大宗教传统所持续面对的核心议题。在过去数十年间，比较神学与比较哲学的兴起为跨传统对话开辟了新的学术空间，但希伯来智慧文学 (Hebrew wisdom literature) 与先秦儒家思想之间的实质性对话仍然相当有限，尤其是在神义论 (theodicy) 这一核心议题上。西方学界已就约伯对报应正义 (retributive justice) 的追问投入大量研究，然而苦难、道德品格与宇宙力量三者关系的跨传统比较研究至今仍属薄弱。</w:t>
      </w:r>
    </w:p>
    <w:p>
      <w:pPr>
        <w:spacing w:line="480" w:lineRule="auto"/>
        <w:ind w:firstLine="720"/>
      </w:pPr>
      <w:r>
        <w:rPr>
          <w:rFonts w:ascii="SimSun" w:cs="SimSun" w:eastAsia="SimSun" w:hAnsi="SimSun"/>
          <w:sz w:val="24"/>
          <w:szCs w:val="24"/>
        </w:rPr>
        <w:t xml:space="preserve">在此领域，叶利 (Lee Yearley) 的《约伯与孔子》是一项开创性的先驱研究。</w:t>
      </w:r>
      <w:r>
        <w:rPr>
          <w:rStyle w:val="FootnoteReference"/>
        </w:rPr>
        <w:footnoteReference w:id="2"/>
      </w:r>
      <w:r>
        <w:rPr>
          <w:rFonts w:ascii="SimSun" w:cs="SimSun" w:eastAsia="SimSun" w:hAnsi="SimSun"/>
          <w:sz w:val="24"/>
          <w:szCs w:val="24"/>
        </w:rPr>
        <w:t xml:space="preserve">叶利运用亚里士多德美德伦理学框架，将约伯的申诉与《论语》中孔子关于美德独立于物质回报的言论加以比较，证明两个传统都承认真正的美德无需通过外部奖惩来维持其价值。这一洞见至今仍有参考价值。然而，叶利的研究存在若干局限：其一，亚里士多德框架是外加的第三方范畴，而非两个传统自身生长出来的概念；其二，以《论语》为儒家文本，未能充分发挥孟子在苦难目的论问题上远比孔子更为系统明确的论述；其三，未触及苦难如何具体塑造品格这一机制性问题。</w:t>
      </w:r>
    </w:p>
    <w:p>
      <w:pPr>
        <w:spacing w:line="480" w:lineRule="auto"/>
        <w:ind w:firstLine="720"/>
      </w:pPr>
      <w:r>
        <w:rPr>
          <w:rFonts w:ascii="SimSun" w:cs="SimSun" w:eastAsia="SimSun" w:hAnsi="SimSun"/>
          <w:sz w:val="24"/>
          <w:szCs w:val="24"/>
        </w:rPr>
        <w:t xml:space="preserve">本文在叶利的基础上推进，作出三项具体的学术贡献：其一，以李炽昌 (Archie C. C. Lee) 的跨文本诠释学取代亚里士多德框架，</w:t>
      </w:r>
      <w:r>
        <w:rPr>
          <w:rStyle w:val="FootnoteReference"/>
        </w:rPr>
        <w:footnoteReference w:id="1"/>
      </w:r>
      <w:r>
        <w:rPr>
          <w:rFonts w:ascii="SimSun" w:cs="SimSun" w:eastAsia="SimSun" w:hAnsi="SimSun"/>
          <w:sz w:val="24"/>
          <w:szCs w:val="24"/>
        </w:rPr>
        <w:t xml:space="preserve">允许两部文本在各自的逻辑框架内展开对话，从而避免融合主义 (syncretism) 与错误等同 (false equivalence)；其二，以《孟子·告子下》第十五章（6B15）为儒家文本，直接聚焦逆境作为有目的道德塑造过程这一维度；其三，以约伯记23:10为关键示范文本，揭示当以孟子式框架加以阅读时，该文本中的目的论本能如何浮现，以及斯多葛学派 (Stoic)、柏拉图主义 (Platonic) 与莱布尼茨式 (Leibnizian) 框架在何种意义上系统性地遮蔽了这一层面。</w:t>
      </w:r>
    </w:p>
    <w:p>
      <w:pPr>
        <w:spacing w:line="480" w:lineRule="auto"/>
        <w:ind w:firstLine="720"/>
      </w:pPr>
      <w:r>
        <w:rPr>
          <w:rFonts w:ascii="SimSun" w:cs="SimSun" w:eastAsia="SimSun" w:hAnsi="SimSun"/>
          <w:sz w:val="24"/>
          <w:szCs w:val="24"/>
        </w:rPr>
        <w:t xml:space="preserve">本文的核心论点是：约伯记23:10——“他试炼我之后，我必如精金出来”（כִּי בְחָנַנִי כַּזָּהָב אֵצֵא，和合本）——所蕴含的冶金隐喻，在孟子式框架内展现出约伯对于苦难目的论的内在本能。这种本能虽因神显 (theophany) 的不透明性而在约伯文本中保持开放，却与孟子对天 (</w:t>
      </w:r>
      <w:r>
        <w:rPr>
          <w:rFonts w:ascii="SimSun" w:cs="SimSun" w:eastAsia="SimSun" w:hAnsi="SimSun"/>
          <w:i/>
          <w:iCs/>
          <w:sz w:val="24"/>
          <w:szCs w:val="24"/>
        </w:rPr>
        <w:t xml:space="preserve">tian</w:t>
      </w:r>
      <w:r>
        <w:rPr>
          <w:rFonts w:ascii="SimSun" w:cs="SimSun" w:eastAsia="SimSun" w:hAnsi="SimSun"/>
          <w:sz w:val="24"/>
          <w:szCs w:val="24"/>
        </w:rPr>
        <w:t xml:space="preserve">) 通过逆境炼制道德品格之确信之间存在结构性同构。“完整性” (</w:t>
      </w:r>
      <w:r>
        <w:rPr>
          <w:rFonts w:ascii="SimSun" w:cs="SimSun" w:eastAsia="SimSun" w:hAnsi="SimSun"/>
          <w:i/>
          <w:iCs/>
          <w:sz w:val="24"/>
          <w:szCs w:val="24"/>
        </w:rPr>
        <w:t xml:space="preserve">tummâ</w:t>
      </w:r>
      <w:r>
        <w:rPr>
          <w:rFonts w:ascii="SimSun" w:cs="SimSun" w:eastAsia="SimSun" w:hAnsi="SimSun"/>
          <w:sz w:val="24"/>
          <w:szCs w:val="24"/>
        </w:rPr>
        <w:t xml:space="preserve">, תֻמָּה) 与“端” (</w:t>
      </w:r>
      <w:r>
        <w:rPr>
          <w:rFonts w:ascii="SimSun" w:cs="SimSun" w:eastAsia="SimSun" w:hAnsi="SimSun"/>
          <w:i/>
          <w:iCs/>
          <w:sz w:val="24"/>
          <w:szCs w:val="24"/>
        </w:rPr>
        <w:t xml:space="preserve">duān</w:t>
      </w:r>
      <w:r>
        <w:rPr>
          <w:rFonts w:ascii="SimSun" w:cs="SimSun" w:eastAsia="SimSun" w:hAnsi="SimSun"/>
          <w:sz w:val="24"/>
          <w:szCs w:val="24"/>
        </w:rPr>
        <w:t xml:space="preserve">) 作为两个传统中苦难所精炼而非创造之品质的核心概念，构成这一跨文本诠释的分析核心。</w:t>
      </w:r>
    </w:p>
    <w:p>
      <w:pPr>
        <w:spacing w:line="480" w:lineRule="auto"/>
        <w:ind w:firstLine="720"/>
      </w:pPr>
      <w:r>
        <w:rPr>
          <w:rFonts w:ascii="SimSun" w:cs="SimSun" w:eastAsia="SimSun" w:hAnsi="SimSun"/>
          <w:sz w:val="24"/>
          <w:szCs w:val="24"/>
        </w:rPr>
        <w:t xml:space="preserve">当前学术界存在三大显著研究空白：古近东智慧文学与战国时期中国哲学之间实质性的对话有待深入开展；约伯神义论与儒家道德修养框架之间的关联尚欠充分；以及圣经研究与非亚伯拉罕传统之间的跨文本诠释互动仍然有限。本研究旨在填补约伯与孟子在神义论问题上具体比较的这一学术空白，尤其是就两部文本如何将苦难概念化为道德转化而非惩罚这一问题展开分析。</w:t>
      </w:r>
    </w:p>
    <w:p>
      <w:pPr>
        <w:spacing w:after="0" w:before="360" w:line="480" w:lineRule="auto"/>
      </w:pPr>
      <w:r>
        <w:rPr>
          <w:rFonts w:ascii="SimSun" w:cs="SimSun" w:eastAsia="SimSun" w:hAnsi="SimSun"/>
          <w:b/>
          <w:bCs/>
          <w:sz w:val="24"/>
          <w:szCs w:val="24"/>
        </w:rPr>
        <w:t xml:space="preserve">二、方法论框架 (Methodological Framework)</w:t>
      </w:r>
    </w:p>
    <w:p>
      <w:pPr>
        <w:spacing w:line="480" w:lineRule="auto"/>
        <w:ind w:firstLine="720"/>
      </w:pPr>
      <w:r>
        <w:rPr>
          <w:rFonts w:ascii="SimSun" w:cs="SimSun" w:eastAsia="SimSun" w:hAnsi="SimSun"/>
          <w:sz w:val="24"/>
          <w:szCs w:val="24"/>
        </w:rPr>
        <w:t xml:space="preserve">李炽昌 (Archie C. C. Lee) 的跨文本诠释学 (cross-textual hermeneutics) 提供了本研究的方法论基础。这一方法论诞生于多经典亚洲的神学语境，其核心洞见是：不同经典传统的并置能够产生诠释学的新光，而这种光既不归属于任何单一传统，也不需要两个传统之间存在形而上学的可通约性 (metaphysical commensurability)。跨文本诠释学的操作程序可概括为三步：确立比较基础 (</w:t>
      </w:r>
      <w:r>
        <w:rPr>
          <w:rFonts w:ascii="SimSun" w:cs="SimSun" w:eastAsia="SimSun" w:hAnsi="SimSun"/>
          <w:i/>
          <w:iCs/>
          <w:sz w:val="24"/>
          <w:szCs w:val="24"/>
        </w:rPr>
        <w:t xml:space="preserve">tertium comparationis</w:t>
      </w:r>
      <w:r>
        <w:rPr>
          <w:rFonts w:ascii="SimSun" w:cs="SimSun" w:eastAsia="SimSun" w:hAnsi="SimSun"/>
          <w:sz w:val="24"/>
          <w:szCs w:val="24"/>
        </w:rPr>
        <w:t xml:space="preserve">)，即使两个传统共同面对同一核心问题的提问方式；在各文本自身的逻辑框架内分别进行深度阅读，避免将任一框架投射于另一传统；在并置而非综合 (juxtaposition rather than synthesis) 中让相互阐明自然涌现。</w:t>
      </w:r>
    </w:p>
    <w:p>
      <w:pPr>
        <w:spacing w:line="480" w:lineRule="auto"/>
        <w:ind w:firstLine="720"/>
      </w:pPr>
      <w:r>
        <w:rPr>
          <w:rFonts w:ascii="SimSun" w:cs="SimSun" w:eastAsia="SimSun" w:hAnsi="SimSun"/>
          <w:sz w:val="24"/>
          <w:szCs w:val="24"/>
        </w:rPr>
        <w:t xml:space="preserve">本研究的比较基础是：神圣或宇宙力量如何介入人类苦难以形塑道德品格？这一问题在《约伯记》与《孟子·告子下》6B15中均居于核心地位，但两个传统对此给出了性质不同的回答。这种差异本身构成方法论的资产而非障碍——正是通过差异，每个传统的特殊性才得以凸显，而非被消弭于融合主义的抹平之中。</w:t>
      </w:r>
    </w:p>
    <w:p>
      <w:pPr>
        <w:spacing w:line="480" w:lineRule="auto"/>
        <w:ind w:firstLine="720"/>
      </w:pPr>
      <w:r>
        <w:rPr>
          <w:rFonts w:ascii="SimSun" w:cs="SimSun" w:eastAsia="SimSun" w:hAnsi="SimSun"/>
          <w:sz w:val="24"/>
          <w:szCs w:val="24"/>
        </w:rPr>
        <w:t xml:space="preserve">在形而上学框架方面，本研究将《孟子》中的“天” (</w:t>
      </w:r>
      <w:r>
        <w:rPr>
          <w:rFonts w:ascii="SimSun" w:cs="SimSun" w:eastAsia="SimSun" w:hAnsi="SimSun"/>
          <w:i/>
          <w:iCs/>
          <w:sz w:val="24"/>
          <w:szCs w:val="24"/>
        </w:rPr>
        <w:t xml:space="preserve">tian</w:t>
      </w:r>
      <w:r>
        <w:rPr>
          <w:rFonts w:ascii="SimSun" w:cs="SimSun" w:eastAsia="SimSun" w:hAnsi="SimSun"/>
          <w:sz w:val="24"/>
          <w:szCs w:val="24"/>
        </w:rPr>
        <w:t xml:space="preserve">) 理解为具有功能性目的意向 (functionally intentional) 而非形而上学位格性 (metaphysically personal) 的宇宙力量。这与《约伯记》中的YHWH形成有益的对比：YHWH是可以法律隐喻加以申诉的位格性神灵。这种区分允许我们在不强迫两个传统相互同化的前提下，就苦难在宇宙秩序中的功能这一问题展开实质性对话。约伯的苦难在关系性的破裂中得到定义，孟子所处理的苦难是功能性的发展语境，而非关系的断裂。</w:t>
      </w:r>
    </w:p>
    <w:p>
      <w:pPr>
        <w:spacing w:line="480" w:lineRule="auto"/>
        <w:ind w:firstLine="720"/>
      </w:pPr>
      <w:r>
        <w:rPr>
          <w:rFonts w:ascii="SimSun" w:cs="SimSun" w:eastAsia="SimSun" w:hAnsi="SimSun"/>
          <w:sz w:val="24"/>
          <w:szCs w:val="24"/>
        </w:rPr>
        <w:t xml:space="preserve">苏林 (Kenneth Surin) 在其《神学与恶的问题》(</w:t>
      </w:r>
      <w:r>
        <w:rPr>
          <w:rFonts w:ascii="SimSun" w:cs="SimSun" w:eastAsia="SimSun" w:hAnsi="SimSun"/>
          <w:i/>
          <w:iCs/>
          <w:sz w:val="24"/>
          <w:szCs w:val="24"/>
        </w:rPr>
        <w:t xml:space="preserve">Theology and the Problem of Evil</w:t>
      </w:r>
      <w:r>
        <w:rPr>
          <w:rFonts w:ascii="SimSun" w:cs="SimSun" w:eastAsia="SimSun" w:hAnsi="SimSun"/>
          <w:sz w:val="24"/>
          <w:szCs w:val="24"/>
        </w:rPr>
        <w:t xml:space="preserve">, 1986) 中警告，任何将神义论系统化为整齐理论的尝试，都冒着将真实苦难化约为概念游戏的风险，从而背叛了苦难者的真实经历。</w:t>
      </w:r>
      <w:r>
        <w:rPr>
          <w:rStyle w:val="FootnoteReference"/>
        </w:rPr>
        <w:footnoteReference w:id="3"/>
      </w:r>
      <w:r>
        <w:rPr>
          <w:rFonts w:ascii="SimSun" w:cs="SimSun" w:eastAsia="SimSun" w:hAnsi="SimSun"/>
          <w:sz w:val="24"/>
          <w:szCs w:val="24"/>
        </w:rPr>
        <w:t xml:space="preserve">本研究采纳这一警示：本文的目标不是提供解决神义论问题的综合理论，而是通过跨文本的并置，在张力中呈现两个传统各自的洞见，以维持生产性张力 (productive tension) 而非达成轻易的和解 (facile resolution)。</w:t>
      </w:r>
    </w:p>
    <w:p>
      <w:pPr>
        <w:spacing w:line="480" w:lineRule="auto"/>
        <w:ind w:firstLine="720"/>
      </w:pPr>
      <w:r>
        <w:rPr>
          <w:rFonts w:ascii="SimSun" w:cs="SimSun" w:eastAsia="SimSun" w:hAnsi="SimSun"/>
          <w:sz w:val="24"/>
          <w:szCs w:val="24"/>
        </w:rPr>
        <w:t xml:space="preserve">跨文化诠释学 (cross-cultural hermeneutics) 作为一种圣经研究方法，其正当性在于：希伯来经典并非在真空中产生，而是处于古近东更广泛的智慧传统之中；东亚经典也参与着超越文化边界的普世性道德追问。将儒家思想纳入圣经诠释，并非以外来框架替换原有框架，而是揭示原有框架所遮蔽的层面——就本研究而言，即是约伯记中的目的论本能，这一本能长期被斯多葛式的坚忍、柏拉图式的灵魂净化以及莱布尼茨式的可能世界论所遮蔽。</w:t>
      </w:r>
    </w:p>
    <w:p>
      <w:pPr>
        <w:spacing w:after="0" w:before="360" w:line="480" w:lineRule="auto"/>
      </w:pPr>
      <w:r>
        <w:rPr>
          <w:rFonts w:ascii="SimSun" w:cs="SimSun" w:eastAsia="SimSun" w:hAnsi="SimSun"/>
          <w:b/>
          <w:bCs/>
          <w:sz w:val="24"/>
          <w:szCs w:val="24"/>
        </w:rPr>
        <w:t xml:space="preserve">三、约伯的完整性与苦难的神学意义</w:t>
      </w:r>
    </w:p>
    <w:p>
      <w:pPr>
        <w:spacing w:after="0" w:before="240" w:line="480" w:lineRule="auto"/>
        <w:ind w:firstLine="360"/>
      </w:pPr>
      <w:r>
        <w:rPr>
          <w:rFonts w:ascii="SimSun" w:cs="SimSun" w:eastAsia="SimSun" w:hAnsi="SimSun"/>
          <w:b/>
          <w:bCs/>
          <w:sz w:val="24"/>
          <w:szCs w:val="24"/>
        </w:rPr>
        <w:t xml:space="preserve">（一）</w:t>
      </w:r>
      <w:r>
        <w:rPr>
          <w:rFonts w:ascii="SimSun" w:cs="SimSun" w:eastAsia="SimSun" w:hAnsi="SimSun"/>
          <w:i/>
          <w:iCs/>
          <w:sz w:val="24"/>
          <w:szCs w:val="24"/>
        </w:rPr>
        <w:t xml:space="preserve">tummâ</w:t>
      </w:r>
      <w:r>
        <w:rPr>
          <w:rFonts w:ascii="SimSun" w:cs="SimSun" w:eastAsia="SimSun" w:hAnsi="SimSun"/>
          <w:b/>
          <w:bCs/>
          <w:sz w:val="24"/>
          <w:szCs w:val="24"/>
        </w:rPr>
        <w:t xml:space="preserve">：完整性的神学</w:t>
      </w:r>
    </w:p>
    <w:p>
      <w:pPr>
        <w:spacing w:line="480" w:lineRule="auto"/>
        <w:ind w:firstLine="720"/>
      </w:pPr>
      <w:r>
        <w:rPr>
          <w:rFonts w:ascii="SimSun" w:cs="SimSun" w:eastAsia="SimSun" w:hAnsi="SimSun"/>
          <w:sz w:val="24"/>
          <w:szCs w:val="24"/>
        </w:rPr>
        <w:t xml:space="preserve">《约伯记》神义论的核心，不是对“苦难为何存在”的理智回答，而是对“完整性 (</w:t>
      </w:r>
      <w:r>
        <w:rPr>
          <w:rFonts w:ascii="SimSun" w:cs="SimSun" w:eastAsia="SimSun" w:hAnsi="SimSun"/>
          <w:i/>
          <w:iCs/>
          <w:sz w:val="24"/>
          <w:szCs w:val="24"/>
        </w:rPr>
        <w:t xml:space="preserve">tummâ</w:t>
      </w:r>
      <w:r>
        <w:rPr>
          <w:rFonts w:ascii="SimSun" w:cs="SimSun" w:eastAsia="SimSun" w:hAnsi="SimSun"/>
          <w:sz w:val="24"/>
          <w:szCs w:val="24"/>
        </w:rPr>
        <w:t xml:space="preserve">, תֻמָּה) 在苦难中能否存续”这一存在性问题的戏剧性探索。YHWH自己引述约伯的完整性作为允许撒旦试炼的根据（约伯记2:3）。哈贝尔 (Habel) 指出，</w:t>
      </w:r>
      <w:r>
        <w:rPr>
          <w:rFonts w:ascii="SimSun" w:cs="SimSun" w:eastAsia="SimSun" w:hAnsi="SimSun"/>
          <w:i/>
          <w:iCs/>
          <w:sz w:val="24"/>
          <w:szCs w:val="24"/>
        </w:rPr>
        <w:t xml:space="preserve">tummâ</w:t>
      </w:r>
      <w:r>
        <w:rPr>
          <w:rFonts w:ascii="SimSun" w:cs="SimSun" w:eastAsia="SimSun" w:hAnsi="SimSun"/>
          <w:sz w:val="24"/>
          <w:szCs w:val="24"/>
        </w:rPr>
        <w:t xml:space="preserve">所指并非单纯的道德合规，而是品格的整全性 (wholeness of character)——内心处置、外在行动与对神之关系三者的有机整合，不可化约为规则遵守。</w:t>
      </w:r>
      <w:r>
        <w:rPr>
          <w:rStyle w:val="FootnoteReference"/>
        </w:rPr>
        <w:footnoteReference w:id="5"/>
      </w:r>
      <w:r>
        <w:rPr>
          <w:rFonts w:ascii="SimSun" w:cs="SimSun" w:eastAsia="SimSun" w:hAnsi="SimSun"/>
          <w:sz w:val="24"/>
          <w:szCs w:val="24"/>
        </w:rPr>
        <w:t xml:space="preserve">这种品格整全性的重要性在于：它正是苦难所要检验的对象，也是苦难过程中所要精炼的对象，而非苦难所要赋予的对象。换言之，</w:t>
      </w:r>
      <w:r>
        <w:rPr>
          <w:rFonts w:ascii="SimSun" w:cs="SimSun" w:eastAsia="SimSun" w:hAnsi="SimSun"/>
          <w:i/>
          <w:iCs/>
          <w:sz w:val="24"/>
          <w:szCs w:val="24"/>
        </w:rPr>
        <w:t xml:space="preserve">tummâ</w:t>
      </w:r>
      <w:r>
        <w:rPr>
          <w:rFonts w:ascii="SimSun" w:cs="SimSun" w:eastAsia="SimSun" w:hAnsi="SimSun"/>
          <w:sz w:val="24"/>
          <w:szCs w:val="24"/>
        </w:rPr>
        <w:t xml:space="preserve">在苦难之前就已存在于约伯身上（约伯记1:1：约伯是“完全人，正直人，敬畏神，远离恶事的”）；苦难的功能是试炼这种既有品格能否在极端压力下存续并彰显其真实性。</w:t>
      </w:r>
    </w:p>
    <w:p>
      <w:pPr>
        <w:spacing w:line="480" w:lineRule="auto"/>
        <w:ind w:firstLine="720"/>
      </w:pPr>
      <w:r>
        <w:rPr>
          <w:rFonts w:ascii="SimSun" w:cs="SimSun" w:eastAsia="SimSun" w:hAnsi="SimSun"/>
          <w:sz w:val="24"/>
          <w:szCs w:val="24"/>
        </w:rPr>
        <w:t xml:space="preserve">约伯的完整性还可从其对神的呼告中得到理解。约伯以“完全人” (</w:t>
      </w:r>
      <w:r>
        <w:rPr>
          <w:rFonts w:ascii="SimSun" w:cs="SimSun" w:eastAsia="SimSun" w:hAnsi="SimSun"/>
          <w:i/>
          <w:iCs/>
          <w:sz w:val="24"/>
          <w:szCs w:val="24"/>
        </w:rPr>
        <w:t xml:space="preserve">tām</w:t>
      </w:r>
      <w:r>
        <w:rPr>
          <w:rFonts w:ascii="SimSun" w:cs="SimSun" w:eastAsia="SimSun" w:hAnsi="SimSun"/>
          <w:sz w:val="24"/>
          <w:szCs w:val="24"/>
        </w:rPr>
        <w:t xml:space="preserve">, תָם) 与“正直人” (</w:t>
      </w:r>
      <w:r>
        <w:rPr>
          <w:rFonts w:ascii="SimSun" w:cs="SimSun" w:eastAsia="SimSun" w:hAnsi="SimSun"/>
          <w:i/>
          <w:iCs/>
          <w:sz w:val="24"/>
          <w:szCs w:val="24"/>
        </w:rPr>
        <w:t xml:space="preserve">yāšār</w:t>
      </w:r>
      <w:r>
        <w:rPr>
          <w:rFonts w:ascii="SimSun" w:cs="SimSun" w:eastAsia="SimSun" w:hAnsi="SimSun"/>
          <w:sz w:val="24"/>
          <w:szCs w:val="24"/>
        </w:rPr>
        <w:t xml:space="preserve">, יָשָׁר) 的品格特质为立足点（约伯记1:1），展开他对神圣公义的申诉。他的抗议与其说是信仰的失败，不如说正是在极度压力下对这种完整性的坚守；他拒绝作出虚假认罪——这种拒绝本身正是</w:t>
      </w:r>
      <w:r>
        <w:rPr>
          <w:rFonts w:ascii="SimSun" w:cs="SimSun" w:eastAsia="SimSun" w:hAnsi="SimSun"/>
          <w:i/>
          <w:iCs/>
          <w:sz w:val="24"/>
          <w:szCs w:val="24"/>
        </w:rPr>
        <w:t xml:space="preserve">tummâ</w:t>
      </w:r>
      <w:r>
        <w:rPr>
          <w:rFonts w:ascii="SimSun" w:cs="SimSun" w:eastAsia="SimSun" w:hAnsi="SimSun"/>
          <w:sz w:val="24"/>
          <w:szCs w:val="24"/>
        </w:rPr>
        <w:t xml:space="preserve">（תֻמָּה）在最严峻形态下的彰显。</w:t>
      </w:r>
    </w:p>
    <w:p>
      <w:pPr>
        <w:spacing w:after="0" w:before="240" w:line="480" w:lineRule="auto"/>
        <w:ind w:firstLine="360"/>
      </w:pPr>
      <w:r>
        <w:rPr>
          <w:rFonts w:ascii="SimSun" w:cs="SimSun" w:eastAsia="SimSun" w:hAnsi="SimSun"/>
          <w:b/>
          <w:bCs/>
          <w:sz w:val="24"/>
          <w:szCs w:val="24"/>
        </w:rPr>
        <w:t xml:space="preserve">（二）三位朋友的神学立场</w:t>
      </w:r>
    </w:p>
    <w:p>
      <w:pPr>
        <w:spacing w:line="480" w:lineRule="auto"/>
        <w:ind w:firstLine="720"/>
      </w:pPr>
      <w:r>
        <w:rPr>
          <w:rFonts w:ascii="SimSun" w:cs="SimSun" w:eastAsia="SimSun" w:hAnsi="SimSun"/>
          <w:sz w:val="24"/>
          <w:szCs w:val="24"/>
        </w:rPr>
        <w:t xml:space="preserve">约伯的三位朋友代表了正统报应神学 (retributive theology) 的三种变体，各自以不同的权威基础为约伯的苦难提供解释，但最终都服务于同一个错误的逻辑。</w:t>
      </w:r>
    </w:p>
    <w:p>
      <w:pPr>
        <w:spacing w:line="480" w:lineRule="auto"/>
        <w:ind w:firstLine="720"/>
      </w:pPr>
      <w:r>
        <w:rPr>
          <w:rFonts w:ascii="SimSun" w:cs="SimSun" w:eastAsia="SimSun" w:hAnsi="SimSun"/>
          <w:sz w:val="24"/>
          <w:szCs w:val="24"/>
        </w:rPr>
        <w:t xml:space="preserve">以利法 (Eliphaz) 诉诸个人的经验与异象 (experience and vision)：他声称曾经历神秘的夜间异象（约伯记4:12–16），从这一启示性经验得出“没有人在神面前被认为是公义的”这一结论，继而推断约伯的苦难必然源于某种隐藏的罪（约伯记22:4–5）。以利法的论证具有一定的神学细腻性——他并非简单指控约伯，而是援引普遍性的人性软弱——但其最终结论依然服从于报应逻辑：悔改将带来恢复。</w:t>
      </w:r>
    </w:p>
    <w:p>
      <w:pPr>
        <w:spacing w:line="480" w:lineRule="auto"/>
        <w:ind w:firstLine="720"/>
      </w:pPr>
      <w:r>
        <w:rPr>
          <w:rFonts w:ascii="SimSun" w:cs="SimSun" w:eastAsia="SimSun" w:hAnsi="SimSun"/>
          <w:sz w:val="24"/>
          <w:szCs w:val="24"/>
        </w:rPr>
        <w:t xml:space="preserve">比勒达 (Bildad) 的权威基础是祖先传统 (ancestral tradition)：他援引先祖所流传下来的集体智慧，认为宇宙的道德秩序是经过历史验证的可靠真理（约伯记8:8–10）。比勒达的神学是保守主义的，其逻辑简单而有力：传统已然证明苦难与罪之间的对应关系；因此，约伯的苦难必然指向某种他尚未承认的过错。</w:t>
      </w:r>
    </w:p>
    <w:p>
      <w:pPr>
        <w:spacing w:line="480" w:lineRule="auto"/>
        <w:ind w:firstLine="720"/>
      </w:pPr>
      <w:r>
        <w:rPr>
          <w:rFonts w:ascii="SimSun" w:cs="SimSun" w:eastAsia="SimSun" w:hAnsi="SimSun"/>
          <w:sz w:val="24"/>
          <w:szCs w:val="24"/>
        </w:rPr>
        <w:t xml:space="preserve">琐法 (Zophar) 代表纯粹的教条主义 (dogmatism)：他在所有朋友中最为直接粗暴，宣称神的惩罚实际上轻于约伯应得的（约伯记11:6）。琐法的神学不经过任何柔化或细化：报应律是绝对的，偏差的唯一解释就是罪。三位朋友的错误不在于相信道德秩序的存在——约伯同样相信这一点——而在于将这一秩序化约为可机械适用的因果律，遮蔽了神圣实在的超越性与奥秘性。神在结语中明确谴责了他们（约伯记42:7–8）。</w:t>
      </w:r>
    </w:p>
    <w:p>
      <w:pPr>
        <w:spacing w:after="0" w:before="240" w:line="480" w:lineRule="auto"/>
        <w:ind w:firstLine="360"/>
      </w:pPr>
      <w:r>
        <w:rPr>
          <w:rFonts w:ascii="SimSun" w:cs="SimSun" w:eastAsia="SimSun" w:hAnsi="SimSun"/>
          <w:b/>
          <w:bCs/>
          <w:sz w:val="24"/>
          <w:szCs w:val="24"/>
        </w:rPr>
        <w:t xml:space="preserve">（三）约伯记23:10：冶金隐喻与目的论本能</w:t>
      </w:r>
    </w:p>
    <w:p>
      <w:pPr>
        <w:spacing w:line="480" w:lineRule="auto"/>
        <w:ind w:firstLine="720"/>
      </w:pPr>
      <w:r>
        <w:rPr>
          <w:rFonts w:ascii="SimSun" w:cs="SimSun" w:eastAsia="SimSun" w:hAnsi="SimSun"/>
          <w:sz w:val="24"/>
          <w:szCs w:val="24"/>
        </w:rPr>
        <w:t xml:space="preserve">约伯记23:10是本研究的关键文本：“然而他知道我所行的路；他试炼我之后，我必如精金出来。”（和合本；כִּי בְחָנַנִי כַּזָּהָב אֵצֵא）</w:t>
      </w:r>
    </w:p>
    <w:p>
      <w:pPr>
        <w:spacing w:line="480" w:lineRule="auto"/>
        <w:ind w:firstLine="720"/>
      </w:pPr>
      <w:r>
        <w:rPr>
          <w:rFonts w:ascii="SimSun" w:cs="SimSun" w:eastAsia="SimSun" w:hAnsi="SimSun"/>
          <w:sz w:val="24"/>
          <w:szCs w:val="24"/>
        </w:rPr>
        <w:t xml:space="preserve">这节经文出现在约伯最深切的渴望时刻：他渴望找到神，陈述他的案件，得到神的正面回应（约伯记23:3–7）。在这种极度渴望与申诉的语境中，约伯说出了一个看似违反其当下经历的宣告：“他试炼我之后，我必如精金出来。”这一宣告的冶金隐喻——以精炼金属的过程类比苦难——在约伯的当下语境中既非显而易见，也非叙事上已然实现的事实，而是一种在极度压力下涌现的内在本能 (instinct)。这一本能的存在本身，是本研究的核心发现：约伯的文本在此包含了一个目的论直觉，尽管这一直觉在约伯整体否定性神义论 (apophatic theodicy) 的框架内保持开放与未解。</w:t>
      </w:r>
    </w:p>
    <w:p>
      <w:pPr>
        <w:spacing w:after="0" w:before="240" w:line="480" w:lineRule="auto"/>
        <w:ind w:firstLine="360"/>
      </w:pPr>
      <w:r>
        <w:rPr>
          <w:rFonts w:ascii="SimSun" w:cs="SimSun" w:eastAsia="SimSun" w:hAnsi="SimSun"/>
          <w:b/>
          <w:bCs/>
          <w:sz w:val="24"/>
          <w:szCs w:val="24"/>
        </w:rPr>
        <w:t xml:space="preserve">（四）神显 (Theophany) 的不透明性与约伯的转化</w:t>
      </w:r>
    </w:p>
    <w:p>
      <w:pPr>
        <w:spacing w:line="480" w:lineRule="auto"/>
        <w:ind w:firstLine="720"/>
      </w:pPr>
      <w:r>
        <w:rPr>
          <w:rFonts w:ascii="SimSun" w:cs="SimSun" w:eastAsia="SimSun" w:hAnsi="SimSun"/>
          <w:sz w:val="24"/>
          <w:szCs w:val="24"/>
        </w:rPr>
        <w:t xml:space="preserve">旋风中神显（约伯记38–41章）是全书的神学高峰，但其意义至今争议未定，这种争议本身具有重要的神学意义。纽瑟姆 (Newsom) 将神显理解为一种以奇异 (wonder) 为核心的经历：神圣的追问通过被造物的浩瀚与奥秘重新定向约伯的注意力，是对约伯知识论框架的颠覆，而非对其申诉的法律性驳回。</w:t>
      </w:r>
      <w:r>
        <w:rPr>
          <w:rStyle w:val="FootnoteReference"/>
        </w:rPr>
        <w:footnoteReference w:id="6"/>
      </w:r>
      <w:r>
        <w:rPr>
          <w:rFonts w:ascii="SimSun" w:cs="SimSun" w:eastAsia="SimSun" w:hAnsi="SimSun"/>
          <w:sz w:val="24"/>
          <w:szCs w:val="24"/>
        </w:rPr>
        <w:t xml:space="preserve">克莱因斯 (Clines) 则更倾向于将神显读作一种强制性的 (coercive) 修辞策略：神以压倒性的宇宙知识向约伯施压，实质上是以权力而非以正义回应了约伯的申诉。</w:t>
      </w:r>
      <w:r>
        <w:rPr>
          <w:rStyle w:val="FootnoteReference"/>
        </w:rPr>
        <w:footnoteReference w:id="7"/>
      </w:r>
    </w:p>
    <w:p>
      <w:pPr>
        <w:spacing w:line="480" w:lineRule="auto"/>
        <w:ind w:firstLine="720"/>
      </w:pPr>
      <w:r>
        <w:rPr>
          <w:rFonts w:ascii="SimSun" w:cs="SimSun" w:eastAsia="SimSun" w:hAnsi="SimSun"/>
          <w:sz w:val="24"/>
          <w:szCs w:val="24"/>
        </w:rPr>
        <w:t xml:space="preserve">这种解读上的张力——神显是奇异的邀请还是强制的沉默？——本身就是约伯神义论的一部分。本研究的立场是：这种不透明性不是需要被消解的困难，而应被接受为约伯神义论的神学宣告：神圣对苦难的回应不能被系统化为透明的目的论，而必然保有无法化约的奥秘维度。约伯的认罪——“我所说的是我不明白的”（约伯记42:3，和合本）——显示的不是失败，而是在神圣知识面前所获得的知识论谦逊 (epistemic humility)。</w:t>
      </w:r>
    </w:p>
    <w:p>
      <w:pPr>
        <w:spacing w:line="480" w:lineRule="auto"/>
        <w:ind w:firstLine="720"/>
      </w:pPr>
      <w:r>
        <w:rPr>
          <w:rFonts w:ascii="SimSun" w:cs="SimSun" w:eastAsia="SimSun" w:hAnsi="SimSun"/>
          <w:sz w:val="24"/>
          <w:szCs w:val="24"/>
        </w:rPr>
        <w:t xml:space="preserve">约伯在神显之后的代祷（约伯记42:8–9）尤为值得关注。YHWH命令三位朋友到约伯那里献上燔祭，“我的仆人约伯必为你们祈祷，我因悦纳他，就不按你们的愚妄办你们”（约伯记42:8，和合本）。约伯不仅没有被谴责，反而获得了为他人代祷的地位。这不是约伯知识的增长，而是其品格的转化——从申诉者转变为代祷者。完整性 (tummâ, תֻמָּה) 在苦难中不仅被证明，而且被深化：约伯所经历的，是一种不以解释为前提的成熟。</w:t>
      </w:r>
    </w:p>
    <w:p>
      <w:pPr>
        <w:spacing w:after="0" w:before="360" w:line="480" w:lineRule="auto"/>
      </w:pPr>
      <w:r>
        <w:rPr>
          <w:rFonts w:ascii="SimSun" w:cs="SimSun" w:eastAsia="SimSun" w:hAnsi="SimSun"/>
          <w:b/>
          <w:bCs/>
          <w:sz w:val="24"/>
          <w:szCs w:val="24"/>
        </w:rPr>
        <w:t xml:space="preserve">四、孟子·告子下6B15：天的教化论</w:t>
      </w:r>
    </w:p>
    <w:p>
      <w:pPr>
        <w:spacing w:after="0" w:before="240" w:line="480" w:lineRule="auto"/>
        <w:ind w:firstLine="360"/>
      </w:pPr>
      <w:r>
        <w:rPr>
          <w:rFonts w:ascii="SimSun" w:cs="SimSun" w:eastAsia="SimSun" w:hAnsi="SimSun"/>
          <w:b/>
          <w:bCs/>
          <w:sz w:val="24"/>
          <w:szCs w:val="24"/>
        </w:rPr>
        <w:t xml:space="preserve">（一）6B15的文本语境</w:t>
      </w:r>
    </w:p>
    <w:p>
      <w:pPr>
        <w:spacing w:line="480" w:lineRule="auto"/>
        <w:ind w:firstLine="720"/>
      </w:pPr>
      <w:r>
        <w:rPr>
          <w:rFonts w:ascii="SimSun" w:cs="SimSun" w:eastAsia="SimSun" w:hAnsi="SimSun"/>
          <w:sz w:val="24"/>
          <w:szCs w:val="24"/>
        </w:rPr>
        <w:t xml:space="preserve">《孟子·告子下》第十三章至第十六章构成一组思想连贯的论述，集中处理逆境与道德成长的关系。孟子在这四章中先后讨论宋勾践在遭受轻蔑时的处世之道（6B13）、志士仁人的坚守（6B14），以及曹交询问能否成为禹或文王（6B16）。在这一组论述中，6B15以近乎宣言式的语气阐明了孟子关于逆境与道德发展的核心理论，提供了整组论述的神学根基。</w:t>
      </w:r>
    </w:p>
    <w:p>
      <w:pPr>
        <w:spacing w:line="480" w:lineRule="auto"/>
        <w:ind w:firstLine="720"/>
      </w:pPr>
      <w:r>
        <w:rPr>
          <w:rFonts w:ascii="SimSun" w:cs="SimSun" w:eastAsia="SimSun" w:hAnsi="SimSun"/>
          <w:sz w:val="24"/>
          <w:szCs w:val="24"/>
        </w:rPr>
        <w:t xml:space="preserve">孟子在6B15中列举六位历史人物，作为天通过逆境塑造圣人的历史证据：舜 (Shun) 出自畎亩之中；傅说 (Fu Yue) 举于版筑之间；胶鬲 (Jiao Ge) 举于鱼盐之中；管夷吾 (Guan Yi Wu) 举于士卒之间；孙叔敖 (Sun Shu Ao) 举于海滨；百里奚 (Bai Li Xi) 举于市井。</w:t>
      </w:r>
      <w:r>
        <w:rPr>
          <w:rStyle w:val="FootnoteReference"/>
        </w:rPr>
        <w:footnoteReference w:id="10"/>
      </w:r>
      <w:r>
        <w:rPr>
          <w:rFonts w:ascii="SimSun" w:cs="SimSun" w:eastAsia="SimSun" w:hAnsi="SimSun"/>
          <w:sz w:val="24"/>
          <w:szCs w:val="24"/>
        </w:rPr>
        <w:t xml:space="preserve">这六个人物的共同特征是：都在最卑贱或最困苦的处境中被天召唤，通过先前的逆境历练而具备了承担重大职责的能力。这种历史证据不是偶然的例外，而是孟子所揭示的宇宙规律：天在有意地通过逆境炼制那些将要担当大任之人。</w:t>
      </w:r>
    </w:p>
    <w:p>
      <w:pPr>
        <w:spacing w:after="0" w:before="240" w:line="480" w:lineRule="auto"/>
        <w:ind w:firstLine="360"/>
      </w:pPr>
      <w:r>
        <w:rPr>
          <w:rFonts w:ascii="SimSun" w:cs="SimSun" w:eastAsia="SimSun" w:hAnsi="SimSun"/>
          <w:b/>
          <w:bCs/>
          <w:sz w:val="24"/>
          <w:szCs w:val="24"/>
        </w:rPr>
        <w:t xml:space="preserve">（二）三个维度与“端”的概念</w:t>
      </w:r>
    </w:p>
    <w:p>
      <w:pPr>
        <w:spacing w:line="480" w:lineRule="auto"/>
        <w:ind w:firstLine="720"/>
      </w:pPr>
      <w:r>
        <w:rPr>
          <w:rFonts w:ascii="SimSun" w:cs="SimSun" w:eastAsia="SimSun" w:hAnsi="SimSun"/>
          <w:sz w:val="24"/>
          <w:szCs w:val="24"/>
        </w:rPr>
        <w:t xml:space="preserve">6B15的核心宣言将苦难的教化功能分解为三个相互关联的维度：苦其心志（精神意志的磨砺，</w:t>
      </w:r>
      <w:r>
        <w:rPr>
          <w:rFonts w:ascii="SimSun" w:cs="SimSun" w:eastAsia="SimSun" w:hAnsi="SimSun"/>
          <w:i/>
          <w:iCs/>
          <w:sz w:val="24"/>
          <w:szCs w:val="24"/>
        </w:rPr>
        <w:t xml:space="preserve">kǔ qí xīn zhì</w:t>
      </w:r>
      <w:r>
        <w:rPr>
          <w:rFonts w:ascii="SimSun" w:cs="SimSun" w:eastAsia="SimSun" w:hAnsi="SimSun"/>
          <w:sz w:val="24"/>
          <w:szCs w:val="24"/>
        </w:rPr>
        <w:t xml:space="preserve">)、劳其筋骨饿其体肤空乏其身（肉体与物质处境的考验，</w:t>
      </w:r>
      <w:r>
        <w:rPr>
          <w:rFonts w:ascii="SimSun" w:cs="SimSun" w:eastAsia="SimSun" w:hAnsi="SimSun"/>
          <w:i/>
          <w:iCs/>
          <w:sz w:val="24"/>
          <w:szCs w:val="24"/>
        </w:rPr>
        <w:t xml:space="preserve">láo qí jīn gǔ</w:t>
      </w:r>
      <w:r>
        <w:rPr>
          <w:rFonts w:ascii="SimSun" w:cs="SimSun" w:eastAsia="SimSun" w:hAnsi="SimSun"/>
          <w:sz w:val="24"/>
          <w:szCs w:val="24"/>
        </w:rPr>
        <w:t xml:space="preserve">)、行拂乱其所为（行动计划的挫败，</w:t>
      </w:r>
      <w:r>
        <w:rPr>
          <w:rFonts w:ascii="SimSun" w:cs="SimSun" w:eastAsia="SimSun" w:hAnsi="SimSun"/>
          <w:i/>
          <w:iCs/>
          <w:sz w:val="24"/>
          <w:szCs w:val="24"/>
        </w:rPr>
        <w:t xml:space="preserve">xíng fú luàn</w:t>
      </w:r>
      <w:r>
        <w:rPr>
          <w:rFonts w:ascii="SimSun" w:cs="SimSun" w:eastAsia="SimSun" w:hAnsi="SimSun"/>
          <w:sz w:val="24"/>
          <w:szCs w:val="24"/>
        </w:rPr>
        <w:t xml:space="preserve">)。这三个维度共同服务于一个目标：“动心忍性，曾益其所不能”——激发内在的道德力量，增益那些尚未充分发展的能力。逆境不是偶然的创伤，而是天所设计的课程。</w:t>
      </w:r>
    </w:p>
    <w:p>
      <w:pPr>
        <w:spacing w:line="480" w:lineRule="auto"/>
        <w:ind w:firstLine="720"/>
      </w:pPr>
      <w:r>
        <w:rPr>
          <w:rFonts w:ascii="SimSun" w:cs="SimSun" w:eastAsia="SimSun" w:hAnsi="SimSun"/>
          <w:sz w:val="24"/>
          <w:szCs w:val="24"/>
        </w:rPr>
        <w:t xml:space="preserve">孟子的逆境教育论预设了一个关键的人性论前提：人性具有先天的道德倾向，孟子称之为“端” (</w:t>
      </w:r>
      <w:r>
        <w:rPr>
          <w:rFonts w:ascii="SimSun" w:cs="SimSun" w:eastAsia="SimSun" w:hAnsi="SimSun"/>
          <w:i/>
          <w:iCs/>
          <w:sz w:val="24"/>
          <w:szCs w:val="24"/>
        </w:rPr>
        <w:t xml:space="preserve">duān</w:t>
      </w:r>
      <w:r>
        <w:rPr>
          <w:rFonts w:ascii="SimSun" w:cs="SimSun" w:eastAsia="SimSun" w:hAnsi="SimSun"/>
          <w:sz w:val="24"/>
          <w:szCs w:val="24"/>
        </w:rPr>
        <w:t xml:space="preserve">, moral sprouts)。在《公孙丑上》中，孟子区分了仁、义、礼、智四种德行的萌芽：恻隐之心（仁之端）、羞恶之心（义之端）、辞让之心（礼之端）、是非之心（智之端）。葛瑞汉 (A. C. Graham) 在其《论道者》(</w:t>
      </w:r>
      <w:r>
        <w:rPr>
          <w:rFonts w:ascii="SimSun" w:cs="SimSun" w:eastAsia="SimSun" w:hAnsi="SimSun"/>
          <w:i/>
          <w:iCs/>
          <w:sz w:val="24"/>
          <w:szCs w:val="24"/>
        </w:rPr>
        <w:t xml:space="preserve">Disputers of the Tao</w:t>
      </w:r>
      <w:r>
        <w:rPr>
          <w:rFonts w:ascii="SimSun" w:cs="SimSun" w:eastAsia="SimSun" w:hAnsi="SimSun"/>
          <w:sz w:val="24"/>
          <w:szCs w:val="24"/>
        </w:rPr>
        <w:t xml:space="preserve">) 中指出，孟子的</w:t>
      </w:r>
      <w:r>
        <w:rPr>
          <w:rFonts w:ascii="SimSun" w:cs="SimSun" w:eastAsia="SimSun" w:hAnsi="SimSun"/>
          <w:i/>
          <w:iCs/>
          <w:sz w:val="24"/>
          <w:szCs w:val="24"/>
        </w:rPr>
        <w:t xml:space="preserve">duān</w:t>
      </w:r>
      <w:r>
        <w:rPr>
          <w:rFonts w:ascii="SimSun" w:cs="SimSun" w:eastAsia="SimSun" w:hAnsi="SimSun"/>
          <w:sz w:val="24"/>
          <w:szCs w:val="24"/>
        </w:rPr>
        <w:t xml:space="preserve">概念预设了一种有机的道德发展论：美德的萌芽内在于人的本性，外部条件（包括逆境）的功能是创造使萌芽成长的环境，而非提供萌芽本身。</w:t>
      </w:r>
      <w:r>
        <w:rPr>
          <w:rStyle w:val="FootnoteReference"/>
        </w:rPr>
        <w:footnoteReference w:id="11"/>
      </w:r>
      <w:r>
        <w:rPr>
          <w:rFonts w:ascii="SimSun" w:cs="SimSun" w:eastAsia="SimSun" w:hAnsi="SimSun"/>
          <w:sz w:val="24"/>
          <w:szCs w:val="24"/>
        </w:rPr>
        <w:t xml:space="preserve">这一洞见对本研究至关重要：</w:t>
      </w:r>
      <w:r>
        <w:rPr>
          <w:rFonts w:ascii="SimSun" w:cs="SimSun" w:eastAsia="SimSun" w:hAnsi="SimSun"/>
          <w:i/>
          <w:iCs/>
          <w:sz w:val="24"/>
          <w:szCs w:val="24"/>
        </w:rPr>
        <w:t xml:space="preserve">duān</w:t>
      </w:r>
      <w:r>
        <w:rPr>
          <w:rFonts w:ascii="SimSun" w:cs="SimSun" w:eastAsia="SimSun" w:hAnsi="SimSun"/>
          <w:sz w:val="24"/>
          <w:szCs w:val="24"/>
        </w:rPr>
        <w:t xml:space="preserve">是苦难所精炼而非创造的既有潜质——这与约伯记中</w:t>
      </w:r>
      <w:r>
        <w:rPr>
          <w:rFonts w:ascii="SimSun" w:cs="SimSun" w:eastAsia="SimSun" w:hAnsi="SimSun"/>
          <w:i/>
          <w:iCs/>
          <w:sz w:val="24"/>
          <w:szCs w:val="24"/>
        </w:rPr>
        <w:t xml:space="preserve">tummâ</w:t>
      </w:r>
      <w:r>
        <w:rPr>
          <w:rFonts w:ascii="SimSun" w:cs="SimSun" w:eastAsia="SimSun" w:hAnsi="SimSun"/>
          <w:sz w:val="24"/>
          <w:szCs w:val="24"/>
        </w:rPr>
        <w:t xml:space="preserve">（תֻמָּה）的结构性平行，构成本研究跨文本诠释的核心。</w:t>
      </w:r>
    </w:p>
    <w:p>
      <w:pPr>
        <w:spacing w:line="480" w:lineRule="auto"/>
        <w:ind w:firstLine="720"/>
      </w:pPr>
      <w:r>
        <w:rPr>
          <w:rFonts w:ascii="SimSun" w:cs="SimSun" w:eastAsia="SimSun" w:hAnsi="SimSun"/>
          <w:sz w:val="24"/>
          <w:szCs w:val="24"/>
        </w:rPr>
        <w:t xml:space="preserve">艾文贺 (Philip J. Ivanhoe) 指出，孟子所构想的是一种将认知能力、情感回应、意志力量及精神维度融为一体的整合性道德心理——逆境正是将这些维度整合为连贯道德自我的压力。</w:t>
      </w:r>
      <w:r>
        <w:rPr>
          <w:rStyle w:val="FootnoteReference"/>
        </w:rPr>
        <w:footnoteReference w:id="12"/>
      </w:r>
      <w:r>
        <w:rPr>
          <w:rFonts w:ascii="SimSun" w:cs="SimSun" w:eastAsia="SimSun" w:hAnsi="SimSun"/>
          <w:sz w:val="24"/>
          <w:szCs w:val="24"/>
        </w:rPr>
        <w:t xml:space="preserve">与约伯面对无解的神圣谜题不同，孟子将苦难呈现为使个体发展为准备好承担大任 (</w:t>
      </w:r>
      <w:r>
        <w:rPr>
          <w:rFonts w:ascii="SimSun" w:cs="SimSun" w:eastAsia="SimSun" w:hAnsi="SimSun"/>
          <w:i/>
          <w:iCs/>
          <w:sz w:val="24"/>
          <w:szCs w:val="24"/>
        </w:rPr>
        <w:t xml:space="preserve">dà rèn</w:t>
      </w:r>
      <w:r>
        <w:rPr>
          <w:rFonts w:ascii="SimSun" w:cs="SimSun" w:eastAsia="SimSun" w:hAnsi="SimSun"/>
          <w:sz w:val="24"/>
          <w:szCs w:val="24"/>
        </w:rPr>
        <w:t xml:space="preserve">, 大任, great responsibility) 的有德领导者的路径。</w:t>
      </w:r>
    </w:p>
    <w:p>
      <w:pPr>
        <w:spacing w:after="0" w:before="240" w:line="480" w:lineRule="auto"/>
        <w:ind w:firstLine="360"/>
      </w:pPr>
      <w:r>
        <w:rPr>
          <w:rFonts w:ascii="SimSun" w:cs="SimSun" w:eastAsia="SimSun" w:hAnsi="SimSun"/>
          <w:b/>
          <w:bCs/>
          <w:sz w:val="24"/>
          <w:szCs w:val="24"/>
        </w:rPr>
        <w:t xml:space="preserve">（三）天的功能性目的意向</w:t>
      </w:r>
    </w:p>
    <w:p>
      <w:pPr>
        <w:spacing w:line="480" w:lineRule="auto"/>
        <w:ind w:firstLine="720"/>
      </w:pPr>
      <w:r>
        <w:rPr>
          <w:rFonts w:ascii="SimSun" w:cs="SimSun" w:eastAsia="SimSun" w:hAnsi="SimSun"/>
          <w:sz w:val="24"/>
          <w:szCs w:val="24"/>
        </w:rPr>
        <w:t xml:space="preserve">孟子对于“天”的理解是本研究中尤为微妙的问题。荀悦 (Kwong-loi Shun) 在对孟子的系统性研究中指出，孟子语境中的天呈现出功能性目的意向 (functional intentionality)——天的运作方式表现出目的性，却不必然预设一个具有位格性意志的神圣人格。</w:t>
      </w:r>
      <w:r>
        <w:rPr>
          <w:rStyle w:val="FootnoteReference"/>
        </w:rPr>
        <w:footnoteReference w:id="4"/>
      </w:r>
      <w:r>
        <w:rPr>
          <w:rFonts w:ascii="SimSun" w:cs="SimSun" w:eastAsia="SimSun" w:hAnsi="SimSun"/>
          <w:sz w:val="24"/>
          <w:szCs w:val="24"/>
        </w:rPr>
        <w:t xml:space="preserve">这与《约伯记》中可以被申诉、可以进行对话的位格性YHWH形成鲜明对比。</w:t>
      </w:r>
    </w:p>
    <w:p>
      <w:pPr>
        <w:spacing w:line="480" w:lineRule="auto"/>
        <w:ind w:firstLine="720"/>
      </w:pPr>
      <w:r>
        <w:rPr>
          <w:rFonts w:ascii="SimSun" w:cs="SimSun" w:eastAsia="SimSun" w:hAnsi="SimSun"/>
          <w:sz w:val="24"/>
          <w:szCs w:val="24"/>
        </w:rPr>
        <w:t xml:space="preserve">然而，这种区分并不意味着孟子的天完全是非个人性的。天与人心之间存在实质性的关联：“尽其心者，知其性也；知其性，则知天矣。”（《孟子·尽心上》7A1）</w:t>
      </w:r>
      <w:r>
        <w:rPr>
          <w:rStyle w:val="FootnoteReference"/>
        </w:rPr>
        <w:footnoteReference w:id="15"/>
      </w:r>
      <w:r>
        <w:rPr>
          <w:rFonts w:ascii="SimSun" w:cs="SimSun" w:eastAsia="SimSun" w:hAnsi="SimSun"/>
          <w:sz w:val="24"/>
          <w:szCs w:val="24"/>
        </w:rPr>
        <w:t xml:space="preserve">这里的逻辑方向至关重要：不是从天的知识下降到对人性的理解，而是从内在的人性充分实现上升到对天的认识。这一方向揭示了孟子道德宇宙的内在性 (immanence)——天不是从外部向人启示，而是在人性的道德实现中被认识。这与约伯的知识论路径（从神显的外部压倒性经历获得知识论转化）形成方向相反的对照。</w:t>
      </w:r>
    </w:p>
    <w:p>
      <w:pPr>
        <w:spacing w:after="0" w:before="360" w:line="480" w:lineRule="auto"/>
      </w:pPr>
      <w:r>
        <w:rPr>
          <w:rFonts w:ascii="SimSun" w:cs="SimSun" w:eastAsia="SimSun" w:hAnsi="SimSun"/>
          <w:b/>
          <w:bCs/>
          <w:sz w:val="24"/>
          <w:szCs w:val="24"/>
        </w:rPr>
        <w:t xml:space="preserve">五、跨文本诠释示范：约伯记23:10的孟子式解读</w:t>
      </w:r>
    </w:p>
    <w:p>
      <w:pPr>
        <w:spacing w:line="480" w:lineRule="auto"/>
        <w:ind w:firstLine="720"/>
      </w:pPr>
      <w:r>
        <w:rPr>
          <w:rFonts w:ascii="SimSun" w:cs="SimSun" w:eastAsia="SimSun" w:hAnsi="SimSun"/>
          <w:sz w:val="24"/>
          <w:szCs w:val="24"/>
        </w:rPr>
        <w:t xml:space="preserve">约伯记23:10是本研究跨文本诠释的焦点文本，其冶金隐喻在孟子6B15的框架内展现出约伯叙事中的目的论本能——这种本能在西方主流解读框架中往往被系统性地低估或消解。在西方学术传统中，这节经文引发了关于其神学意义的持续争议。纽瑟姆 (Newsom) 将其定性为约伯整体神学框架中的“反常的希望” (anomalous hope)：在当下处境中，对神终将公义的确信缺乏认识论的稳固基础，更像是在认识论危机边缘的顽强坚守。</w:t>
      </w:r>
      <w:r>
        <w:rPr>
          <w:rStyle w:val="FootnoteReference"/>
        </w:rPr>
        <w:footnoteReference w:id="8"/>
      </w:r>
      <w:r>
        <w:rPr>
          <w:rFonts w:ascii="SimSun" w:cs="SimSun" w:eastAsia="SimSun" w:hAnsi="SimSun"/>
          <w:sz w:val="24"/>
          <w:szCs w:val="24"/>
        </w:rPr>
        <w:t xml:space="preserve">哈贝尔 (Habel) 的解读较为正面，将其视为“大胆的信托” (bold trust)：约伯以一种具有先知色彩的宣告，表达对神终究公义的顽强信仰，即便神当下的行为令他深感困惑。</w:t>
      </w:r>
      <w:r>
        <w:rPr>
          <w:rStyle w:val="FootnoteReference"/>
        </w:rPr>
        <w:footnoteReference w:id="9"/>
      </w:r>
      <w:r>
        <w:rPr>
          <w:rFonts w:ascii="SimSun" w:cs="SimSun" w:eastAsia="SimSun" w:hAnsi="SimSun"/>
          <w:sz w:val="24"/>
          <w:szCs w:val="24"/>
        </w:rPr>
        <w:t xml:space="preserve">克莱因斯 (Clines) 则采取讽刺性解读：约伯在此是以神自己的目的来挑战神的一致性——如果神真的是试炼者和精炼者，为何却回避与被精炼者的正面相遇？</w:t>
      </w:r>
    </w:p>
    <w:p>
      <w:pPr>
        <w:spacing w:line="480" w:lineRule="auto"/>
        <w:ind w:firstLine="720"/>
      </w:pPr>
      <w:r>
        <w:rPr>
          <w:rFonts w:ascii="SimSun" w:cs="SimSun" w:eastAsia="SimSun" w:hAnsi="SimSun"/>
          <w:sz w:val="24"/>
          <w:szCs w:val="24"/>
        </w:rPr>
        <w:t xml:space="preserve">这三种解读各有其文本依据，但共同的局限在于：都在约伯文本的内部逻辑框架内寻求意义，没有引入一个能够使该文本的目的论维度以不同方式浮现的外部比较基础。当以孟子6B15的框架来读约伯记23:10时，这节经文展现出不同的面貌。</w:t>
      </w:r>
    </w:p>
    <w:p>
      <w:pPr>
        <w:spacing w:line="480" w:lineRule="auto"/>
        <w:ind w:firstLine="720"/>
      </w:pPr>
      <w:r>
        <w:rPr>
          <w:rFonts w:ascii="SimSun" w:cs="SimSun" w:eastAsia="SimSun" w:hAnsi="SimSun"/>
          <w:sz w:val="24"/>
          <w:szCs w:val="24"/>
        </w:rPr>
        <w:t xml:space="preserve">孟子将逆境理解为天对道德品格的精炼过程，其意象恰恰也是冶金性的：不是外部力量创造出新的品格，而是精炼过程使既有品格中的杂质被去除，本质性的精华得以纯粹显现。约伯在23:10中所用的动词בָּחַן (</w:t>
      </w:r>
      <w:r>
        <w:rPr>
          <w:rFonts w:ascii="SimSun" w:cs="SimSun" w:eastAsia="SimSun" w:hAnsi="SimSun"/>
          <w:i/>
          <w:iCs/>
          <w:sz w:val="24"/>
          <w:szCs w:val="24"/>
        </w:rPr>
        <w:t xml:space="preserve">bāḥan</w:t>
      </w:r>
      <w:r>
        <w:rPr>
          <w:rFonts w:ascii="SimSun" w:cs="SimSun" w:eastAsia="SimSun" w:hAnsi="SimSun"/>
          <w:sz w:val="24"/>
          <w:szCs w:val="24"/>
        </w:rPr>
        <w:t xml:space="preserve">, to test/refine) 与黄金比喻，在孟子的框架内不再仅仅是一种修辞策略，而是对苦难运作机制的本体论描述：苦难是精炼剂，而非创造者。</w:t>
      </w:r>
    </w:p>
    <w:p>
      <w:pPr>
        <w:spacing w:line="480" w:lineRule="auto"/>
        <w:ind w:firstLine="720"/>
      </w:pPr>
      <w:r>
        <w:rPr>
          <w:rFonts w:ascii="SimSun" w:cs="SimSun" w:eastAsia="SimSun" w:hAnsi="SimSun"/>
          <w:sz w:val="24"/>
          <w:szCs w:val="24"/>
        </w:rPr>
        <w:t xml:space="preserve">这一孟子式解读揭示了约伯记23:10中的两层目的论结构：第一层是神圣的主动性——“他试炼我”，表明苦难不是随机的宇宙事故，而是神圣精炼意图的具体实施；第二层是品格的被动显现——“我必如精金出来”，表明精金（即约伯的</w:t>
      </w:r>
      <w:r>
        <w:rPr>
          <w:rFonts w:ascii="SimSun" w:cs="SimSun" w:eastAsia="SimSun" w:hAnsi="SimSun"/>
          <w:i/>
          <w:iCs/>
          <w:sz w:val="24"/>
          <w:szCs w:val="24"/>
        </w:rPr>
        <w:t xml:space="preserve">tummâ</w:t>
      </w:r>
      <w:r>
        <w:rPr>
          <w:rFonts w:ascii="SimSun" w:cs="SimSun" w:eastAsia="SimSun" w:hAnsi="SimSun"/>
          <w:sz w:val="24"/>
          <w:szCs w:val="24"/>
        </w:rPr>
        <w:t xml:space="preserve">／完整性）是既已存在于约伯品格之中的潜质，而非由苦难从无到有创造出来的。</w:t>
      </w:r>
    </w:p>
    <w:p>
      <w:pPr>
        <w:spacing w:line="480" w:lineRule="auto"/>
        <w:ind w:firstLine="720"/>
      </w:pPr>
      <w:r>
        <w:rPr>
          <w:rFonts w:ascii="SimSun" w:cs="SimSun" w:eastAsia="SimSun" w:hAnsi="SimSun"/>
          <w:i/>
          <w:iCs/>
          <w:sz w:val="24"/>
          <w:szCs w:val="24"/>
        </w:rPr>
        <w:t xml:space="preserve">tummâ</w:t>
      </w:r>
      <w:r>
        <w:rPr>
          <w:rFonts w:ascii="SimSun" w:cs="SimSun" w:eastAsia="SimSun" w:hAnsi="SimSun"/>
          <w:sz w:val="24"/>
          <w:szCs w:val="24"/>
        </w:rPr>
        <w:t xml:space="preserve">（完整性，תֻמָּה）与</w:t>
      </w:r>
      <w:r>
        <w:rPr>
          <w:rFonts w:ascii="SimSun" w:cs="SimSun" w:eastAsia="SimSun" w:hAnsi="SimSun"/>
          <w:i/>
          <w:iCs/>
          <w:sz w:val="24"/>
          <w:szCs w:val="24"/>
        </w:rPr>
        <w:t xml:space="preserve">duān</w:t>
      </w:r>
      <w:r>
        <w:rPr>
          <w:rFonts w:ascii="SimSun" w:cs="SimSun" w:eastAsia="SimSun" w:hAnsi="SimSun"/>
          <w:sz w:val="24"/>
          <w:szCs w:val="24"/>
        </w:rPr>
        <w:t xml:space="preserve">（端，moral sprouts）之间的结构性平行此刻变得清晰可见：两者都是苦难所精炼而非创造之品质；两者都预设了道德主体的先在完整性，不是将主体视为从道德白板开始的存在；两者都在逆境中才完全彰显其真实性质——</w:t>
      </w:r>
      <w:r>
        <w:rPr>
          <w:rFonts w:ascii="SimSun" w:cs="SimSun" w:eastAsia="SimSun" w:hAnsi="SimSun"/>
          <w:i/>
          <w:iCs/>
          <w:sz w:val="24"/>
          <w:szCs w:val="24"/>
        </w:rPr>
        <w:t xml:space="preserve">tummâ</w:t>
      </w:r>
      <w:r>
        <w:rPr>
          <w:rFonts w:ascii="SimSun" w:cs="SimSun" w:eastAsia="SimSun" w:hAnsi="SimSun"/>
          <w:sz w:val="24"/>
          <w:szCs w:val="24"/>
        </w:rPr>
        <w:t xml:space="preserve">在朋友们的持续压力下被证明，</w:t>
      </w:r>
      <w:r>
        <w:rPr>
          <w:rFonts w:ascii="SimSun" w:cs="SimSun" w:eastAsia="SimSun" w:hAnsi="SimSun"/>
          <w:i/>
          <w:iCs/>
          <w:sz w:val="24"/>
          <w:szCs w:val="24"/>
        </w:rPr>
        <w:t xml:space="preserve">duān</w:t>
      </w:r>
      <w:r>
        <w:rPr>
          <w:rFonts w:ascii="SimSun" w:cs="SimSun" w:eastAsia="SimSun" w:hAnsi="SimSun"/>
          <w:sz w:val="24"/>
          <w:szCs w:val="24"/>
        </w:rPr>
        <w:t xml:space="preserve">在逆境中被发展为完整的德行。这一结构性平行是本研究的核心原创性贡献：它不是断言两个传统的概念相同，而是揭示一种深层的功能性同构——苦难在两个传统中都是显现既有道德潜质的精炼剂，而非创造品格的制造机。</w:t>
      </w:r>
    </w:p>
    <w:p>
      <w:pPr>
        <w:spacing w:line="480" w:lineRule="auto"/>
        <w:ind w:firstLine="720"/>
      </w:pPr>
      <w:r>
        <w:rPr>
          <w:rFonts w:ascii="SimSun" w:cs="SimSun" w:eastAsia="SimSun" w:hAnsi="SimSun"/>
          <w:sz w:val="24"/>
          <w:szCs w:val="24"/>
        </w:rPr>
        <w:t xml:space="preserve">希腊罗马哲学框架对约伯记23:10的解读造成了系统性的遮蔽，体现在三个层面：斯多葛学派 (Stoic apatheia) 的忍耐论将苦难视为需要以理性超越的情感扰动，其框架中没有空间给予“苦难精炼品格”这一本体论主张；柏拉图主义 (Platonic) 的灵魂净化论将苦难理解为帮助灵魂从物质束缚中解脱的手段，其目标是逃离苦难所在的物质领域，而非在其中发展品格；莱布尼茨式 (Leibnizian) 的最优世界论将苦难合理化为整体最优宇宙安排的组成部分，更关注宏观的宇宙逻辑，而非个体品格在苦难中的内在转化机制。</w:t>
      </w:r>
    </w:p>
    <w:p>
      <w:pPr>
        <w:spacing w:line="480" w:lineRule="auto"/>
        <w:ind w:firstLine="720"/>
      </w:pPr>
      <w:r>
        <w:rPr>
          <w:rFonts w:ascii="SimSun" w:cs="SimSun" w:eastAsia="SimSun" w:hAnsi="SimSun"/>
          <w:sz w:val="24"/>
          <w:szCs w:val="24"/>
        </w:rPr>
        <w:t xml:space="preserve">孟子的框架因此提供了一个对约伯记23:10更具诠释力的参照系：它使约伯在苦难中涌现的目的论本能——苦难是精炼，不是惩罚；品格是被显现，不是被创造——得以在概念上获得充分表达。然而，这种孟子式解读必须被保存于约伯神学的整体不透明性之中：约伯记23:10中的目的论本能是在神显 (theophany) 的不透明性背景下涌现的，不能被直接转化为孟子那种透明的、可系统陈述的目的论。这种保留本身就是本研究方法论的体现：并置而非综合，阐明而非等同。</w:t>
      </w:r>
    </w:p>
    <w:p>
      <w:pPr>
        <w:spacing w:after="0" w:before="360" w:line="480" w:lineRule="auto"/>
      </w:pPr>
      <w:r>
        <w:rPr>
          <w:rFonts w:ascii="SimSun" w:cs="SimSun" w:eastAsia="SimSun" w:hAnsi="SimSun"/>
          <w:b/>
          <w:bCs/>
          <w:sz w:val="24"/>
          <w:szCs w:val="24"/>
        </w:rPr>
        <w:t xml:space="preserve">六、共同之处 (Convergences)</w:t>
      </w:r>
    </w:p>
    <w:p>
      <w:pPr>
        <w:spacing w:line="480" w:lineRule="auto"/>
        <w:ind w:firstLine="720"/>
      </w:pPr>
      <w:r>
        <w:rPr>
          <w:rFonts w:ascii="SimSun" w:cs="SimSun" w:eastAsia="SimSun" w:hAnsi="SimSun"/>
          <w:sz w:val="24"/>
          <w:szCs w:val="24"/>
        </w:rPr>
        <w:t xml:space="preserve">尽管文化语境迥异，约伯与孟子在苦难与道德成长问题上呈现出四项核心共识。</w:t>
      </w:r>
    </w:p>
    <w:p>
      <w:pPr>
        <w:spacing w:line="480" w:lineRule="auto"/>
        <w:ind w:firstLine="720"/>
      </w:pPr>
      <w:r>
        <w:rPr>
          <w:rFonts w:ascii="SimSun" w:cs="SimSun" w:eastAsia="SimSun" w:hAnsi="SimSun"/>
          <w:sz w:val="24"/>
          <w:szCs w:val="24"/>
        </w:rPr>
        <w:t xml:space="preserve">第一，两者均对简单化的道德因果律提出挑战。约伯拒绝接受三位朋友关于苦难必然源于罪的假设；孟子则批评将美德工具化为获取外部回报的人，主张君子在任何物质处境中都应坚守义 (</w:t>
      </w:r>
      <w:r>
        <w:rPr>
          <w:rFonts w:ascii="SimSun" w:cs="SimSun" w:eastAsia="SimSun" w:hAnsi="SimSun"/>
          <w:i/>
          <w:iCs/>
          <w:sz w:val="24"/>
          <w:szCs w:val="24"/>
        </w:rPr>
        <w:t xml:space="preserve">yi</w:t>
      </w:r>
      <w:r>
        <w:rPr>
          <w:rFonts w:ascii="SimSun" w:cs="SimSun" w:eastAsia="SimSun" w:hAnsi="SimSun"/>
          <w:sz w:val="24"/>
          <w:szCs w:val="24"/>
        </w:rPr>
        <w:t xml:space="preserve">)，而不以物质结果作为道德行为的依据。YHWH对约伯朋友们的谴责（约伯记42:7）与孟子对梁惠王以“何必曰利”开篇的批评（孟子1A1），</w:t>
      </w:r>
      <w:r>
        <w:rPr>
          <w:rStyle w:val="FootnoteReference"/>
        </w:rPr>
        <w:footnoteReference w:id="14"/>
      </w:r>
      <w:r>
        <w:rPr>
          <w:rFonts w:ascii="SimSun" w:cs="SimSun" w:eastAsia="SimSun" w:hAnsi="SimSun"/>
          <w:sz w:val="24"/>
          <w:szCs w:val="24"/>
        </w:rPr>
        <w:t xml:space="preserve">都表明两个传统对功利性道德计算的共同抗拒。</w:t>
      </w:r>
    </w:p>
    <w:p>
      <w:pPr>
        <w:spacing w:line="480" w:lineRule="auto"/>
        <w:ind w:firstLine="720"/>
      </w:pPr>
      <w:r>
        <w:rPr>
          <w:rFonts w:ascii="SimSun" w:cs="SimSun" w:eastAsia="SimSun" w:hAnsi="SimSun"/>
          <w:sz w:val="24"/>
          <w:szCs w:val="24"/>
        </w:rPr>
        <w:t xml:space="preserve">第二，两部文本都将人类道德发展置于宇宙结构之中，赋予苦难以超越个人心理层面的宇宙意义。约伯的神显 (theophany) 经历将人类伦理存在定位于神圣创造与主权的宏大背景之下（约伯记38–41章）；孟子则将人的美德与天的旨意相关联（7A1：“尽其心者，知其性，则知天矣”）。两个传统都拒绝将苦难问题还原为单纯的个人心理或社会现象，而是在宇宙秩序的框架内为苦难的道德意义提供根据。</w:t>
      </w:r>
    </w:p>
    <w:p>
      <w:pPr>
        <w:spacing w:line="480" w:lineRule="auto"/>
        <w:ind w:firstLine="720"/>
      </w:pPr>
      <w:r>
        <w:rPr>
          <w:rFonts w:ascii="SimSun" w:cs="SimSun" w:eastAsia="SimSun" w:hAnsi="SimSun"/>
          <w:sz w:val="24"/>
          <w:szCs w:val="24"/>
        </w:rPr>
        <w:t xml:space="preserve">第三，两部文本都抗制所谓“繁荣神学” (prosperity theology)——即主要为获取物质祝福而寻求公义的思维模式。约伯的叙事通过展示一位以各种标准衡量都堪称完全的人却遭受极度苦难（约伯记1:1–3与1:13–19的对比），彻底颠覆了“义人必得祝福”的简单等式。孟子通过六位历史人物的例证——他们无一例外地经历物质困苦与社会卑贱——反向证明：物质逆境是伟大道德领袖塑造的常规路径，而非例外。</w:t>
      </w:r>
    </w:p>
    <w:p>
      <w:pPr>
        <w:spacing w:line="480" w:lineRule="auto"/>
        <w:ind w:firstLine="720"/>
      </w:pPr>
      <w:r>
        <w:rPr>
          <w:rFonts w:ascii="SimSun" w:cs="SimSun" w:eastAsia="SimSun" w:hAnsi="SimSun"/>
          <w:sz w:val="24"/>
          <w:szCs w:val="24"/>
        </w:rPr>
        <w:t xml:space="preserve">第四，两部文本都强调逆境中对道德品格的主动坚守是道德成熟的核心路径。约伯在三位朋友持续攻击下对其完整性 (</w:t>
      </w:r>
      <w:r>
        <w:rPr>
          <w:rFonts w:ascii="SimSun" w:cs="SimSun" w:eastAsia="SimSun" w:hAnsi="SimSun"/>
          <w:i/>
          <w:iCs/>
          <w:sz w:val="24"/>
          <w:szCs w:val="24"/>
        </w:rPr>
        <w:t xml:space="preserve">tummâ</w:t>
      </w:r>
      <w:r>
        <w:rPr>
          <w:rFonts w:ascii="SimSun" w:cs="SimSun" w:eastAsia="SimSun" w:hAnsi="SimSun"/>
          <w:sz w:val="24"/>
          <w:szCs w:val="24"/>
        </w:rPr>
        <w:t xml:space="preserve">, תֻמָּה) 的坚持，本身就是品格成熟的标志；孟子的“动心忍性”所描述的不仅是被动的承受，更是在逆境中主动激活并强化内在道德潜力的过程。两者都要求道德主体在苦难中保持主体性，而非简单接受苦难或逃避苦难。</w:t>
      </w:r>
    </w:p>
    <w:p>
      <w:pPr>
        <w:spacing w:after="0" w:before="360" w:line="480" w:lineRule="auto"/>
      </w:pPr>
      <w:r>
        <w:rPr>
          <w:rFonts w:ascii="SimSun" w:cs="SimSun" w:eastAsia="SimSun" w:hAnsi="SimSun"/>
          <w:b/>
          <w:bCs/>
          <w:sz w:val="24"/>
          <w:szCs w:val="24"/>
        </w:rPr>
        <w:t xml:space="preserve">七、根本分歧 (Divergences)</w:t>
      </w:r>
    </w:p>
    <w:p>
      <w:pPr>
        <w:spacing w:line="480" w:lineRule="auto"/>
        <w:ind w:firstLine="720"/>
      </w:pPr>
      <w:r>
        <w:rPr>
          <w:rFonts w:ascii="SimSun" w:cs="SimSun" w:eastAsia="SimSun" w:hAnsi="SimSun"/>
          <w:sz w:val="24"/>
          <w:szCs w:val="24"/>
        </w:rPr>
        <w:t xml:space="preserve">两部文本在四个维度上存在根本性的、不可化约的分歧，这些分歧不应被调和，而应被保存于诠释学的张力之中——正是这种张力构成了两个传统相互阐明的生产性基础。</w:t>
      </w:r>
    </w:p>
    <w:p>
      <w:pPr>
        <w:spacing w:line="480" w:lineRule="auto"/>
        <w:ind w:firstLine="720"/>
      </w:pPr>
      <w:r>
        <w:rPr>
          <w:rFonts w:ascii="SimSun" w:cs="SimSun" w:eastAsia="SimSun" w:hAnsi="SimSun"/>
          <w:sz w:val="24"/>
          <w:szCs w:val="24"/>
        </w:rPr>
        <w:t xml:space="preserve">第一，神圣力量的本质：位格性YHWH与功能性天。《约伯记》中的神是可以法律隐喻加以申诉的位格性存在——约伯将自己的苦难诉诸法庭的比喻，寻求一位“中保” (mediator)，渴望在神面前为自己辩护（约伯记9:32–35；16:19–21；19:25–27）。这种法律性、关系性的神圣概念，使约伯能够以对话伙伴而非单纯受造物的身份与神互动。孟子的天则不具备这种关系性结构：人与天的关联不是通过申诉与回应，而是通过内在德性的充分实现来建立。这一差异是存在论层面的：约伯的苦难在关系性的破裂中得到定义，而孟子所处理的苦难是功能性的发展语境。</w:t>
      </w:r>
    </w:p>
    <w:p>
      <w:pPr>
        <w:spacing w:line="480" w:lineRule="auto"/>
        <w:ind w:firstLine="720"/>
      </w:pPr>
      <w:r>
        <w:rPr>
          <w:rFonts w:ascii="SimSun" w:cs="SimSun" w:eastAsia="SimSun" w:hAnsi="SimSun"/>
          <w:sz w:val="24"/>
          <w:szCs w:val="24"/>
        </w:rPr>
        <w:t xml:space="preserve">第二，知识论进路：启示与修养。约伯的知识论转化通过神显这一从外部涌来的压倒性启示来实现（约伯记38:1）；孟子的道德知识论则通过内省与修养从内部生长出来（“尽其心者，知其性，则知天矣”，7A1）。约伯的框架预设真正的知识来自神圣的自我启示，超越人类的独立认知；孟子的框架预设真正的道德知识已经潜藏于人性之中，修养的功能是激活这种内在知识，而非等待外部的启示。肖 (Seow) 指出：“与那些强调传统与社群双重权威的朋友相比，约伯更注重个人经历。”</w:t>
      </w:r>
      <w:r>
        <w:rPr>
          <w:rStyle w:val="FootnoteReference"/>
        </w:rPr>
        <w:footnoteReference w:id="13"/>
      </w:r>
      <w:r>
        <w:rPr>
          <w:rFonts w:ascii="SimSun" w:cs="SimSun" w:eastAsia="SimSun" w:hAnsi="SimSun"/>
          <w:sz w:val="24"/>
          <w:szCs w:val="24"/>
        </w:rPr>
        <w:t xml:space="preserve">这种个体化的、最终带有神秘性的启示，与孟子那更具公共可辨性的道德宇宙形成鲜明对照——在那里，天的运作可以被认识并有意识地参与其中。</w:t>
      </w:r>
    </w:p>
    <w:p>
      <w:pPr>
        <w:spacing w:line="480" w:lineRule="auto"/>
        <w:ind w:firstLine="720"/>
      </w:pPr>
      <w:r>
        <w:rPr>
          <w:rFonts w:ascii="SimSun" w:cs="SimSun" w:eastAsia="SimSun" w:hAnsi="SimSun"/>
          <w:sz w:val="24"/>
          <w:szCs w:val="24"/>
        </w:rPr>
        <w:t xml:space="preserve">第三，目的论的透明度。孟子的苦难目的论是透明的 (transparent)：天通过逆境塑造道德领袖，这个过程的机制、目标和证据都可以被清楚陈述，并通过历史案例加以归纳。约伯的苦难目的论则是否定性的 (</w:t>
      </w:r>
      <w:r>
        <w:rPr>
          <w:rFonts w:ascii="SimSun" w:cs="SimSun" w:eastAsia="SimSun" w:hAnsi="SimSun"/>
          <w:i/>
          <w:iCs/>
          <w:sz w:val="24"/>
          <w:szCs w:val="24"/>
        </w:rPr>
        <w:t xml:space="preserve">apophatic</w:t>
      </w:r>
      <w:r>
        <w:rPr>
          <w:rFonts w:ascii="SimSun" w:cs="SimSun" w:eastAsia="SimSun" w:hAnsi="SimSun"/>
          <w:sz w:val="24"/>
          <w:szCs w:val="24"/>
        </w:rPr>
        <w:t xml:space="preserve">)：约伯在苦难中所获得的不是关于苦难目的的解释，而是在神显中对自身认知局限的认识——“我所说的是我不明白的，这些事太奇妙，是我不知道的”（约伯记42:3，和合本）。这种否定性神义论与孟子的肯定性目的论的对比，是两个传统最深刻的分歧之一。</w:t>
      </w:r>
    </w:p>
    <w:p>
      <w:pPr>
        <w:spacing w:line="480" w:lineRule="auto"/>
        <w:ind w:firstLine="720"/>
      </w:pPr>
      <w:r>
        <w:rPr>
          <w:rFonts w:ascii="SimSun" w:cs="SimSun" w:eastAsia="SimSun" w:hAnsi="SimSun"/>
          <w:sz w:val="24"/>
          <w:szCs w:val="24"/>
        </w:rPr>
        <w:t xml:space="preserve">第四，神显的不可化约的奥秘性作为神学宣告。旋风中的神显不仅是约伯叙事的叙事高峰，更是一种神学立场的具身化：神对苦难问题的回应，在结构上拒绝以直接的目的论解释来回答，而代之以创造奥秘的压倒性经历。这种拒绝本身就是神学内容的一部分：苦难的终极意义保持开放，不被任何人类框架所封闭——包括孟子的目的论框架。因此，孟子式阅读约伯记23:10所揭示的目的论本能，必须被保存于约伯神学的整体不透明性之中，而不能被转变为透明的孟子式目的论。这一不可化约的差异正是两个传统相互制衡、共同指向更丰富神义论的基础。</w:t>
      </w:r>
    </w:p>
    <w:p>
      <w:pPr>
        <w:spacing w:after="0" w:before="360" w:line="480" w:lineRule="auto"/>
      </w:pPr>
      <w:r>
        <w:rPr>
          <w:rFonts w:ascii="SimSun" w:cs="SimSun" w:eastAsia="SimSun" w:hAnsi="SimSun"/>
          <w:b/>
          <w:bCs/>
          <w:sz w:val="24"/>
          <w:szCs w:val="24"/>
        </w:rPr>
        <w:t xml:space="preserve">八、对神义论的贡献：生产性张力</w:t>
      </w:r>
    </w:p>
    <w:p>
      <w:pPr>
        <w:spacing w:line="480" w:lineRule="auto"/>
        <w:ind w:firstLine="720"/>
      </w:pPr>
      <w:r>
        <w:rPr>
          <w:rFonts w:ascii="SimSun" w:cs="SimSun" w:eastAsia="SimSun" w:hAnsi="SimSun"/>
          <w:sz w:val="24"/>
          <w:szCs w:val="24"/>
        </w:rPr>
        <w:t xml:space="preserve">两部文本的跨文本并置对当代神义论话语产生三方面的具体贡献，这些贡献正是通过保存二者之间的张力而非达成综合来实现的。</w:t>
      </w:r>
    </w:p>
    <w:p>
      <w:pPr>
        <w:spacing w:line="480" w:lineRule="auto"/>
        <w:ind w:firstLine="720"/>
      </w:pPr>
      <w:r>
        <w:rPr>
          <w:rFonts w:ascii="SimSun" w:cs="SimSun" w:eastAsia="SimSun" w:hAnsi="SimSun"/>
          <w:sz w:val="24"/>
          <w:szCs w:val="24"/>
        </w:rPr>
        <w:t xml:space="preserve">第一，约伯防止孟子框架的过度系统化。孟子对于天通过逆境塑造道德领袖的论述，其力量在于清晰的目的论：苦难有目的，这一目的可以被认识，甚至可以通过历史案例加以归纳。然而，正是这种清晰性构成其神义论的潜在弱点：当面对约伯式的极端苦难——无辜者的完全毁灭，毫无可辨识的教化目的——孟子的框架可能滑向将一切苦难都合理化的危险，从而关闭对苦难的真实抗议。约伯记将苦难呈现为在宇宙层面运作（天庭序幕，约伯记1:6–12）并超越人类解释能力的现象，为孟子式系统化提供了必要的制衡。</w:t>
      </w:r>
    </w:p>
    <w:p>
      <w:pPr>
        <w:spacing w:line="480" w:lineRule="auto"/>
        <w:ind w:firstLine="720"/>
      </w:pPr>
      <w:r>
        <w:rPr>
          <w:rFonts w:ascii="SimSun" w:cs="SimSun" w:eastAsia="SimSun" w:hAnsi="SimSun"/>
          <w:sz w:val="24"/>
          <w:szCs w:val="24"/>
        </w:rPr>
        <w:t xml:space="preserve">第二，孟子防止约伯叙事滑向虚无主义。约伯叙事在其存在性危机的深处，面临意义完全丧失的威胁：如果苦难不能在任何道德因果框架内得到解释，如果神的回应只是以奥秘回应奥秘，约伯的故事是否最终揭示了一个道德上无意义的宇宙？在此，孟子提供了一种有益的反力：苦难确实能够具有目的论结构，逆境确实能够精炼而非摧毁品格，天的功能性目的意向为苦难的意义提供了框架性的根据。孟子的贡献不是将这一框架直接施加于约伯，而是提供一种概念资源，使约伯记23:10中涌现的目的论本能能够在神学上被认真对待，而不被视为毫无根据的情感表达。</w:t>
      </w:r>
    </w:p>
    <w:p>
      <w:pPr>
        <w:spacing w:line="480" w:lineRule="auto"/>
        <w:ind w:firstLine="720"/>
      </w:pPr>
      <w:r>
        <w:rPr>
          <w:rFonts w:ascii="SimSun" w:cs="SimSun" w:eastAsia="SimSun" w:hAnsi="SimSun"/>
          <w:sz w:val="24"/>
          <w:szCs w:val="24"/>
        </w:rPr>
        <w:t xml:space="preserve">第三，这一比较揭示了西方神义论话语中长期被遮蔽的层面。苏林 (Surin) 警告，系统性的神义论——无论是莱布尼茨的最优世界论、灵魂成熟论 (soul-making theodicy)，还是过程神学的有限神论——都面临将真实苦难化约为概念操演的危险。</w:t>
      </w:r>
      <w:r>
        <w:rPr>
          <w:rStyle w:val="FootnoteReference"/>
        </w:rPr>
        <w:footnoteReference w:id="3"/>
      </w:r>
      <w:r>
        <w:rPr>
          <w:rFonts w:ascii="SimSun" w:cs="SimSun" w:eastAsia="SimSun" w:hAnsi="SimSun"/>
          <w:sz w:val="24"/>
          <w:szCs w:val="24"/>
        </w:rPr>
        <w:t xml:space="preserve">本研究所采用的跨文化诠释学进路，恰恰是通过拒绝单一系统的封闭性，在并置中保持神义论话语的开放性。这一立场明确区别于叶利 (Yearley) 的比较框架——叶利在亚里士多德框架内证明了美德可以独立于物质回报，但其框架本身是外加的，而非从两个传统自身生长出来的。本研究通过跨文本诠释学使两个传统在各自的逻辑内部对话，所揭示的是两个传统各自对苦难问题的本源性回应及其在并置中产生的生产性张力。</w:t>
      </w:r>
      <w:r>
        <w:rPr>
          <w:rStyle w:val="FootnoteReference"/>
        </w:rPr>
        <w:footnoteReference w:id="16"/>
      </w:r>
    </w:p>
    <w:p>
      <w:pPr>
        <w:spacing w:line="480" w:lineRule="auto"/>
        <w:ind w:firstLine="720"/>
      </w:pPr>
      <w:r>
        <w:rPr>
          <w:rFonts w:ascii="SimSun" w:cs="SimSun" w:eastAsia="SimSun" w:hAnsi="SimSun"/>
          <w:sz w:val="24"/>
          <w:szCs w:val="24"/>
        </w:rPr>
        <w:t xml:space="preserve">这种生产性张力的实践意义在于：它为面对苦难的人提供了两种互补而非相互替代的资源。孟子的框架允许在逆境中主动寻求意义，认识到苦难可以是品格塑造的过程而非单纯的惩罚或随机的厄运；约伯的框架则允许真实的抗议和对神圣奥秘的坦诚面对，不以强加的意义来廉价化真实的痛苦。两者共同提供了一种比任何单一系统更诚实、更复杂、更能反映真实苦难经历的神义论立场。</w:t>
      </w:r>
    </w:p>
    <w:p>
      <w:pPr>
        <w:spacing w:after="0" w:before="360" w:line="480" w:lineRule="auto"/>
      </w:pPr>
      <w:r>
        <w:rPr>
          <w:rFonts w:ascii="SimSun" w:cs="SimSun" w:eastAsia="SimSun" w:hAnsi="SimSun"/>
          <w:b/>
          <w:bCs/>
          <w:sz w:val="24"/>
          <w:szCs w:val="24"/>
        </w:rPr>
        <w:t xml:space="preserve">九、结论 (Conclusion)</w:t>
      </w:r>
    </w:p>
    <w:p>
      <w:pPr>
        <w:spacing w:line="480" w:lineRule="auto"/>
        <w:ind w:firstLine="720"/>
      </w:pPr>
      <w:r>
        <w:rPr>
          <w:rFonts w:ascii="SimSun" w:cs="SimSun" w:eastAsia="SimSun" w:hAnsi="SimSun"/>
          <w:sz w:val="24"/>
          <w:szCs w:val="24"/>
        </w:rPr>
        <w:t xml:space="preserve">本研究通过《约伯记》与《孟子·告子下》第十五章的跨文本比较，论证了两部文本之间存在一种生产性张力，这种张力既不能被综合为单一的神义论系统，也不应因其差异而被视为无法对话。跨文本诠释学的方法论有效性在这一比较中得到证明：它允许差异在并置中发言，而不需要强迫两个传统达成预设的和解。</w:t>
      </w:r>
    </w:p>
    <w:p>
      <w:pPr>
        <w:spacing w:line="480" w:lineRule="auto"/>
        <w:ind w:firstLine="720"/>
      </w:pPr>
      <w:r>
        <w:rPr>
          <w:rFonts w:ascii="SimSun" w:cs="SimSun" w:eastAsia="SimSun" w:hAnsi="SimSun"/>
          <w:sz w:val="24"/>
          <w:szCs w:val="24"/>
        </w:rPr>
        <w:t xml:space="preserve">本研究的核心原创性贡献在于：以约伯记23:10（“他试炼我之后，我必如精金出来”；כִּי בְחָנַנִי כַּזָּהָב אֵצֵא）为关键示范文本，通过孟子式阅读揭示约伯文本中被西方主流框架（斯多葛、柏拉图、莱布尼茨）系统性低估的目的论本能。</w:t>
      </w:r>
      <w:r>
        <w:rPr>
          <w:rFonts w:ascii="SimSun" w:cs="SimSun" w:eastAsia="SimSun" w:hAnsi="SimSun"/>
          <w:i/>
          <w:iCs/>
          <w:sz w:val="24"/>
          <w:szCs w:val="24"/>
        </w:rPr>
        <w:t xml:space="preserve">tummâ</w:t>
      </w:r>
      <w:r>
        <w:rPr>
          <w:rFonts w:ascii="SimSun" w:cs="SimSun" w:eastAsia="SimSun" w:hAnsi="SimSun"/>
          <w:sz w:val="24"/>
          <w:szCs w:val="24"/>
        </w:rPr>
        <w:t xml:space="preserve">（完整性，תֻמָּה）与</w:t>
      </w:r>
      <w:r>
        <w:rPr>
          <w:rFonts w:ascii="SimSun" w:cs="SimSun" w:eastAsia="SimSun" w:hAnsi="SimSun"/>
          <w:i/>
          <w:iCs/>
          <w:sz w:val="24"/>
          <w:szCs w:val="24"/>
        </w:rPr>
        <w:t xml:space="preserve">duān</w:t>
      </w:r>
      <w:r>
        <w:rPr>
          <w:rFonts w:ascii="SimSun" w:cs="SimSun" w:eastAsia="SimSun" w:hAnsi="SimSun"/>
          <w:sz w:val="24"/>
          <w:szCs w:val="24"/>
        </w:rPr>
        <w:t xml:space="preserve">（端，moral sprouts）之间的结构性平行——两者都是苦难所精炼而非创造之品质，都预设道德主体的先在潜质——为两个传统的比较提供了具有分析精确性的概念桥梁，而非泛泛而论的类比。</w:t>
      </w:r>
    </w:p>
    <w:p>
      <w:pPr>
        <w:spacing w:line="480" w:lineRule="auto"/>
        <w:ind w:firstLine="720"/>
      </w:pPr>
      <w:r>
        <w:rPr>
          <w:rFonts w:ascii="SimSun" w:cs="SimSun" w:eastAsia="SimSun" w:hAnsi="SimSun"/>
          <w:sz w:val="24"/>
          <w:szCs w:val="24"/>
        </w:rPr>
        <w:t xml:space="preserve">本研究同时坚持约伯神义论中不可化约的否定性维度：神显的奥秘性、约伯苦难意义的最终开放性，是约伯神义论的神学内容，而非其神学弱点。因此，两部文本的并置产生的不是神义论问题的解决，而是一种更诚实的张力：孟子揭示了苦难可以有目的论结构，约伯坚持这一结构不能被封闭为透明的系统。两者共同更充分地反映了人类苦难经历的复杂性及其转化为道德成长的潜力。</w:t>
      </w:r>
    </w:p>
    <w:p>
      <w:pPr>
        <w:spacing w:line="480" w:lineRule="auto"/>
        <w:ind w:firstLine="720"/>
      </w:pPr>
      <w:r>
        <w:rPr>
          <w:rFonts w:ascii="SimSun" w:cs="SimSun" w:eastAsia="SimSun" w:hAnsi="SimSun"/>
          <w:sz w:val="24"/>
          <w:szCs w:val="24"/>
        </w:rPr>
        <w:t xml:space="preserve">这一研究具有更广泛的方法论意义：它表明圣经研究从与非西方传统的对话中大获裨益，不是因为非西方传统提供了外来的解读密钥，而是因为它们揭示了原有传统内部被遮蔽的层面。约伯记中的目的论本能并非由孟子赋予，而是孟子的框架使约伯记23:10中已然存在的层面得以浮现。这种跨文化诠释学的相互阐明，是比较宗教学与比较神学最具建设性的学术贡献之一。</w:t>
      </w:r>
    </w:p>
    <w:p>
      <w:pPr>
        <w:spacing w:line="480" w:lineRule="auto"/>
        <w:ind w:firstLine="720"/>
      </w:pPr>
      <w:r>
        <w:rPr>
          <w:rFonts w:ascii="SimSun" w:cs="SimSun" w:eastAsia="SimSun" w:hAnsi="SimSun"/>
          <w:sz w:val="24"/>
          <w:szCs w:val="24"/>
        </w:rPr>
        <w:t xml:space="preserve">对于未来的研究，本文建议进一步探索以下议题：约伯的代祷者角色（约伯记42:8–9）与儒家圣贤的天下担当之间的比较；否定性神义论（</w:t>
      </w:r>
      <w:r>
        <w:rPr>
          <w:rFonts w:ascii="SimSun" w:cs="SimSun" w:eastAsia="SimSun" w:hAnsi="SimSun"/>
          <w:i/>
          <w:iCs/>
          <w:sz w:val="24"/>
          <w:szCs w:val="24"/>
        </w:rPr>
        <w:t xml:space="preserve">via negativa</w:t>
      </w:r>
      <w:r>
        <w:rPr>
          <w:rFonts w:ascii="SimSun" w:cs="SimSun" w:eastAsia="SimSun" w:hAnsi="SimSun"/>
          <w:sz w:val="24"/>
          <w:szCs w:val="24"/>
        </w:rPr>
        <w:t xml:space="preserve">）与儒家通过修养认识天的正面路径之间的知识论对照；以及将研究范围扩展至苦难问题上更广泛的亚洲经典传统（包括佛教与道家）与圣经文本的跨文本对话。约伯与孟子的配对表明，神义论话语在跨文化的阐明中变得更丰富、更诚实，也更具面对真实苦难的神学诚信。</w:t>
      </w:r>
    </w:p>
    <w:p>
      <w:pPr>
        <w:spacing w:after="0" w:before="480" w:line="480" w:lineRule="auto"/>
      </w:pPr>
      <w:r>
        <w:rPr>
          <w:rFonts w:ascii="SimSun" w:cs="SimSun" w:eastAsia="SimSun" w:hAnsi="SimSun"/>
          <w:b/>
          <w:bCs/>
          <w:sz w:val="24"/>
          <w:szCs w:val="24"/>
        </w:rPr>
        <w:t xml:space="preserve">参考文献 (Bibliography)</w:t>
      </w:r>
    </w:p>
    <w:p>
      <w:pPr>
        <w:spacing w:line="480" w:lineRule="auto"/>
        <w:ind w:left="720" w:hanging="720"/>
      </w:pPr>
      <w:r>
        <w:rPr>
          <w:rFonts w:ascii="Times New Roman" w:cs="Times New Roman" w:eastAsia="Times New Roman" w:hAnsi="Times New Roman"/>
          <w:sz w:val="24"/>
          <w:szCs w:val="24"/>
        </w:rPr>
        <w:t xml:space="preserve">Chan, Wing-tsit. </w:t>
      </w:r>
      <w:r>
        <w:rPr>
          <w:rFonts w:ascii="Times New Roman" w:cs="Times New Roman" w:eastAsia="Times New Roman" w:hAnsi="Times New Roman"/>
          <w:i/>
          <w:iCs/>
          <w:sz w:val="24"/>
          <w:szCs w:val="24"/>
        </w:rPr>
        <w:t xml:space="preserve">A Source Book in Chinese Philosophy</w:t>
      </w:r>
      <w:r>
        <w:rPr>
          <w:rFonts w:ascii="Times New Roman" w:cs="Times New Roman" w:eastAsia="Times New Roman" w:hAnsi="Times New Roman"/>
          <w:sz w:val="24"/>
          <w:szCs w:val="24"/>
        </w:rPr>
        <w:t xml:space="preserve">. Princeton: Princeton University Press, 1963.</w:t>
      </w:r>
    </w:p>
    <w:p>
      <w:pPr>
        <w:spacing w:line="480" w:lineRule="auto"/>
        <w:ind w:left="720" w:hanging="720"/>
      </w:pPr>
      <w:r>
        <w:rPr>
          <w:rFonts w:ascii="Times New Roman" w:cs="Times New Roman" w:eastAsia="Times New Roman" w:hAnsi="Times New Roman"/>
          <w:sz w:val="24"/>
          <w:szCs w:val="24"/>
        </w:rPr>
        <w:t xml:space="preserve">Clines, David J. A. </w:t>
      </w:r>
      <w:r>
        <w:rPr>
          <w:rFonts w:ascii="Times New Roman" w:cs="Times New Roman" w:eastAsia="Times New Roman" w:hAnsi="Times New Roman"/>
          <w:i/>
          <w:iCs/>
          <w:sz w:val="24"/>
          <w:szCs w:val="24"/>
        </w:rPr>
        <w:t xml:space="preserve">Job 38–42</w:t>
      </w:r>
      <w:r>
        <w:rPr>
          <w:rFonts w:ascii="Times New Roman" w:cs="Times New Roman" w:eastAsia="Times New Roman" w:hAnsi="Times New Roman"/>
          <w:sz w:val="24"/>
          <w:szCs w:val="24"/>
        </w:rPr>
        <w:t xml:space="preserve">. Word Biblical Commentary 18B. Nashville: Thomas Nelson, 2011.</w:t>
      </w:r>
    </w:p>
    <w:p>
      <w:pPr>
        <w:spacing w:line="480" w:lineRule="auto"/>
        <w:ind w:left="720" w:hanging="720"/>
      </w:pPr>
      <w:r>
        <w:rPr>
          <w:rFonts w:ascii="Times New Roman" w:cs="Times New Roman" w:eastAsia="Times New Roman" w:hAnsi="Times New Roman"/>
          <w:sz w:val="24"/>
          <w:szCs w:val="24"/>
        </w:rPr>
        <w:t xml:space="preserve">Graham, A. C. </w:t>
      </w:r>
      <w:r>
        <w:rPr>
          <w:rFonts w:ascii="Times New Roman" w:cs="Times New Roman" w:eastAsia="Times New Roman" w:hAnsi="Times New Roman"/>
          <w:i/>
          <w:iCs/>
          <w:sz w:val="24"/>
          <w:szCs w:val="24"/>
        </w:rPr>
        <w:t xml:space="preserve">Disputers of the Tao: Philosophical Argument in Ancient China</w:t>
      </w:r>
      <w:r>
        <w:rPr>
          <w:rFonts w:ascii="Times New Roman" w:cs="Times New Roman" w:eastAsia="Times New Roman" w:hAnsi="Times New Roman"/>
          <w:sz w:val="24"/>
          <w:szCs w:val="24"/>
        </w:rPr>
        <w:t xml:space="preserve">. La Salle, IL: Open Court, 1989.</w:t>
      </w:r>
    </w:p>
    <w:p>
      <w:pPr>
        <w:spacing w:line="480" w:lineRule="auto"/>
        <w:ind w:left="720" w:hanging="720"/>
      </w:pPr>
      <w:r>
        <w:rPr>
          <w:rFonts w:ascii="Times New Roman" w:cs="Times New Roman" w:eastAsia="Times New Roman" w:hAnsi="Times New Roman"/>
          <w:sz w:val="24"/>
          <w:szCs w:val="24"/>
        </w:rPr>
        <w:t xml:space="preserve">Habel, Norman C. </w:t>
      </w:r>
      <w:r>
        <w:rPr>
          <w:rFonts w:ascii="Times New Roman" w:cs="Times New Roman" w:eastAsia="Times New Roman" w:hAnsi="Times New Roman"/>
          <w:i/>
          <w:iCs/>
          <w:sz w:val="24"/>
          <w:szCs w:val="24"/>
        </w:rPr>
        <w:t xml:space="preserve">The Book of Job: A Commentary</w:t>
      </w:r>
      <w:r>
        <w:rPr>
          <w:rFonts w:ascii="Times New Roman" w:cs="Times New Roman" w:eastAsia="Times New Roman" w:hAnsi="Times New Roman"/>
          <w:sz w:val="24"/>
          <w:szCs w:val="24"/>
        </w:rPr>
        <w:t xml:space="preserve">. Old Testament Library. Philadelphia: Westminster, 1985.</w:t>
      </w:r>
    </w:p>
    <w:p>
      <w:pPr>
        <w:spacing w:line="480" w:lineRule="auto"/>
        <w:ind w:left="720" w:hanging="720"/>
      </w:pPr>
      <w:r>
        <w:rPr>
          <w:rFonts w:ascii="Times New Roman" w:cs="Times New Roman" w:eastAsia="Times New Roman" w:hAnsi="Times New Roman"/>
          <w:sz w:val="24"/>
          <w:szCs w:val="24"/>
        </w:rPr>
        <w:t xml:space="preserve">Ivanhoe, Philip J. </w:t>
      </w:r>
      <w:r>
        <w:rPr>
          <w:rFonts w:ascii="Times New Roman" w:cs="Times New Roman" w:eastAsia="Times New Roman" w:hAnsi="Times New Roman"/>
          <w:i/>
          <w:iCs/>
          <w:sz w:val="24"/>
          <w:szCs w:val="24"/>
        </w:rPr>
        <w:t xml:space="preserve">Ethics in the Confucian Tradition: The Thought of Mengzi and Wang Yangming</w:t>
      </w:r>
      <w:r>
        <w:rPr>
          <w:rFonts w:ascii="Times New Roman" w:cs="Times New Roman" w:eastAsia="Times New Roman" w:hAnsi="Times New Roman"/>
          <w:sz w:val="24"/>
          <w:szCs w:val="24"/>
        </w:rPr>
        <w:t xml:space="preserve">. 2nd ed. Indianapolis: Hackett, 2002.</w:t>
      </w:r>
    </w:p>
    <w:p>
      <w:pPr>
        <w:spacing w:line="480" w:lineRule="auto"/>
        <w:ind w:left="720" w:hanging="720"/>
      </w:pPr>
      <w:r>
        <w:rPr>
          <w:rFonts w:ascii="Times New Roman" w:cs="Times New Roman" w:eastAsia="Times New Roman" w:hAnsi="Times New Roman"/>
          <w:sz w:val="24"/>
          <w:szCs w:val="24"/>
        </w:rPr>
        <w:t xml:space="preserve">Lee, Archie C. C. "Cross-Textual Hermeneutics and Identity in Multi-Scriptural Asia." In </w:t>
      </w:r>
      <w:r>
        <w:rPr>
          <w:rFonts w:ascii="Times New Roman" w:cs="Times New Roman" w:eastAsia="Times New Roman" w:hAnsi="Times New Roman"/>
          <w:i/>
          <w:iCs/>
          <w:sz w:val="24"/>
          <w:szCs w:val="24"/>
        </w:rPr>
        <w:t xml:space="preserve">Christian Theology in Asia</w:t>
      </w:r>
      <w:r>
        <w:rPr>
          <w:rFonts w:ascii="Times New Roman" w:cs="Times New Roman" w:eastAsia="Times New Roman" w:hAnsi="Times New Roman"/>
          <w:sz w:val="24"/>
          <w:szCs w:val="24"/>
        </w:rPr>
        <w:t xml:space="preserve">, edited by Sebastian C. H. Kim, 179–204. Cambridge: Cambridge University Press, 2008.</w:t>
      </w:r>
    </w:p>
    <w:p>
      <w:pPr>
        <w:spacing w:line="480" w:lineRule="auto"/>
        <w:ind w:left="720" w:hanging="720"/>
      </w:pPr>
      <w:r>
        <w:rPr>
          <w:rFonts w:ascii="Times New Roman" w:cs="Times New Roman" w:eastAsia="Times New Roman" w:hAnsi="Times New Roman"/>
          <w:sz w:val="24"/>
          <w:szCs w:val="24"/>
        </w:rPr>
        <w:t xml:space="preserve">Newsom, Carol A. </w:t>
      </w:r>
      <w:r>
        <w:rPr>
          <w:rFonts w:ascii="Times New Roman" w:cs="Times New Roman" w:eastAsia="Times New Roman" w:hAnsi="Times New Roman"/>
          <w:i/>
          <w:iCs/>
          <w:sz w:val="24"/>
          <w:szCs w:val="24"/>
        </w:rPr>
        <w:t xml:space="preserve">The Book of Job: A Contest of Moral Imaginations</w:t>
      </w:r>
      <w:r>
        <w:rPr>
          <w:rFonts w:ascii="Times New Roman" w:cs="Times New Roman" w:eastAsia="Times New Roman" w:hAnsi="Times New Roman"/>
          <w:sz w:val="24"/>
          <w:szCs w:val="24"/>
        </w:rPr>
        <w:t xml:space="preserve">. New York: Oxford University Press, 2003.</w:t>
      </w:r>
    </w:p>
    <w:p>
      <w:pPr>
        <w:spacing w:line="480" w:lineRule="auto"/>
        <w:ind w:left="720" w:hanging="720"/>
      </w:pPr>
      <w:r>
        <w:rPr>
          <w:rFonts w:ascii="Times New Roman" w:cs="Times New Roman" w:eastAsia="Times New Roman" w:hAnsi="Times New Roman"/>
          <w:sz w:val="24"/>
          <w:szCs w:val="24"/>
        </w:rPr>
        <w:t xml:space="preserve">Seow, Choon-Leong. </w:t>
      </w:r>
      <w:r>
        <w:rPr>
          <w:rFonts w:ascii="Times New Roman" w:cs="Times New Roman" w:eastAsia="Times New Roman" w:hAnsi="Times New Roman"/>
          <w:i/>
          <w:iCs/>
          <w:sz w:val="24"/>
          <w:szCs w:val="24"/>
        </w:rPr>
        <w:t xml:space="preserve">Job 1–21: Interpretation and Commentary</w:t>
      </w:r>
      <w:r>
        <w:rPr>
          <w:rFonts w:ascii="Times New Roman" w:cs="Times New Roman" w:eastAsia="Times New Roman" w:hAnsi="Times New Roman"/>
          <w:sz w:val="24"/>
          <w:szCs w:val="24"/>
        </w:rPr>
        <w:t xml:space="preserve">. Illuminations. Grand Rapids: Eerdmans, 2013.</w:t>
      </w:r>
    </w:p>
    <w:p>
      <w:pPr>
        <w:spacing w:line="480" w:lineRule="auto"/>
        <w:ind w:left="720" w:hanging="720"/>
      </w:pPr>
      <w:r>
        <w:rPr>
          <w:rFonts w:ascii="Times New Roman" w:cs="Times New Roman" w:eastAsia="Times New Roman" w:hAnsi="Times New Roman"/>
          <w:sz w:val="24"/>
          <w:szCs w:val="24"/>
        </w:rPr>
        <w:t xml:space="preserve">Shun, Kwong-loi. </w:t>
      </w:r>
      <w:r>
        <w:rPr>
          <w:rFonts w:ascii="Times New Roman" w:cs="Times New Roman" w:eastAsia="Times New Roman" w:hAnsi="Times New Roman"/>
          <w:i/>
          <w:iCs/>
          <w:sz w:val="24"/>
          <w:szCs w:val="24"/>
        </w:rPr>
        <w:t xml:space="preserve">Mencius and Early Chinese Thought</w:t>
      </w:r>
      <w:r>
        <w:rPr>
          <w:rFonts w:ascii="Times New Roman" w:cs="Times New Roman" w:eastAsia="Times New Roman" w:hAnsi="Times New Roman"/>
          <w:sz w:val="24"/>
          <w:szCs w:val="24"/>
        </w:rPr>
        <w:t xml:space="preserve">. Stanford: Stanford University Press, 1997.</w:t>
      </w:r>
    </w:p>
    <w:p>
      <w:pPr>
        <w:spacing w:line="480" w:lineRule="auto"/>
        <w:ind w:left="720" w:hanging="720"/>
      </w:pPr>
      <w:r>
        <w:rPr>
          <w:rFonts w:ascii="Times New Roman" w:cs="Times New Roman" w:eastAsia="Times New Roman" w:hAnsi="Times New Roman"/>
          <w:sz w:val="24"/>
          <w:szCs w:val="24"/>
        </w:rPr>
        <w:t xml:space="preserve">Sugirtharajah, R. S. </w:t>
      </w:r>
      <w:r>
        <w:rPr>
          <w:rFonts w:ascii="Times New Roman" w:cs="Times New Roman" w:eastAsia="Times New Roman" w:hAnsi="Times New Roman"/>
          <w:i/>
          <w:iCs/>
          <w:sz w:val="24"/>
          <w:szCs w:val="24"/>
        </w:rPr>
        <w:t xml:space="preserve">The Bible and the Third World: Precolonial, Colonial, and Postcolonial Encounters</w:t>
      </w:r>
      <w:r>
        <w:rPr>
          <w:rFonts w:ascii="Times New Roman" w:cs="Times New Roman" w:eastAsia="Times New Roman" w:hAnsi="Times New Roman"/>
          <w:sz w:val="24"/>
          <w:szCs w:val="24"/>
        </w:rPr>
        <w:t xml:space="preserve">. Cambridge: Cambridge University Press, 2001.</w:t>
      </w:r>
    </w:p>
    <w:p>
      <w:pPr>
        <w:spacing w:line="480" w:lineRule="auto"/>
        <w:ind w:left="720" w:hanging="720"/>
      </w:pPr>
      <w:r>
        <w:rPr>
          <w:rFonts w:ascii="Times New Roman" w:cs="Times New Roman" w:eastAsia="Times New Roman" w:hAnsi="Times New Roman"/>
          <w:sz w:val="24"/>
          <w:szCs w:val="24"/>
        </w:rPr>
        <w:t xml:space="preserve">Surin, Kenneth. </w:t>
      </w:r>
      <w:r>
        <w:rPr>
          <w:rFonts w:ascii="Times New Roman" w:cs="Times New Roman" w:eastAsia="Times New Roman" w:hAnsi="Times New Roman"/>
          <w:i/>
          <w:iCs/>
          <w:sz w:val="24"/>
          <w:szCs w:val="24"/>
        </w:rPr>
        <w:t xml:space="preserve">Theology and the Problem of Evil</w:t>
      </w:r>
      <w:r>
        <w:rPr>
          <w:rFonts w:ascii="Times New Roman" w:cs="Times New Roman" w:eastAsia="Times New Roman" w:hAnsi="Times New Roman"/>
          <w:sz w:val="24"/>
          <w:szCs w:val="24"/>
        </w:rPr>
        <w:t xml:space="preserve">. Oxford: Blackwell, 1986.</w:t>
      </w:r>
    </w:p>
    <w:p>
      <w:pPr>
        <w:spacing w:line="480" w:lineRule="auto"/>
        <w:ind w:left="720" w:hanging="720"/>
      </w:pPr>
      <w:r>
        <w:rPr>
          <w:rFonts w:ascii="Times New Roman" w:cs="Times New Roman" w:eastAsia="Times New Roman" w:hAnsi="Times New Roman"/>
          <w:sz w:val="24"/>
          <w:szCs w:val="24"/>
        </w:rPr>
        <w:t xml:space="preserve">Van Norden, Bryan W., trans. </w:t>
      </w:r>
      <w:r>
        <w:rPr>
          <w:rFonts w:ascii="Times New Roman" w:cs="Times New Roman" w:eastAsia="Times New Roman" w:hAnsi="Times New Roman"/>
          <w:i/>
          <w:iCs/>
          <w:sz w:val="24"/>
          <w:szCs w:val="24"/>
        </w:rPr>
        <w:t xml:space="preserve">Mengzi: With Selections from Traditional Commentaries</w:t>
      </w:r>
      <w:r>
        <w:rPr>
          <w:rFonts w:ascii="Times New Roman" w:cs="Times New Roman" w:eastAsia="Times New Roman" w:hAnsi="Times New Roman"/>
          <w:sz w:val="24"/>
          <w:szCs w:val="24"/>
        </w:rPr>
        <w:t xml:space="preserve">. Indianapolis: Hackett, 2008.</w:t>
      </w:r>
    </w:p>
    <w:p>
      <w:pPr>
        <w:spacing w:line="480" w:lineRule="auto"/>
        <w:ind w:left="720" w:hanging="720"/>
      </w:pPr>
      <w:r>
        <w:rPr>
          <w:rFonts w:ascii="Times New Roman" w:cs="Times New Roman" w:eastAsia="Times New Roman" w:hAnsi="Times New Roman"/>
          <w:sz w:val="24"/>
          <w:szCs w:val="24"/>
        </w:rPr>
        <w:t xml:space="preserve">Yearley, Lee. "Job and Confucius." </w:t>
      </w:r>
      <w:r>
        <w:rPr>
          <w:rFonts w:ascii="Times New Roman" w:cs="Times New Roman" w:eastAsia="Times New Roman" w:hAnsi="Times New Roman"/>
          <w:i/>
          <w:iCs/>
          <w:sz w:val="24"/>
          <w:szCs w:val="24"/>
        </w:rPr>
        <w:t xml:space="preserve">Journal of Religious Ethics</w:t>
      </w:r>
      <w:r>
        <w:rPr>
          <w:rFonts w:ascii="Times New Roman" w:cs="Times New Roman" w:eastAsia="Times New Roman" w:hAnsi="Times New Roman"/>
          <w:sz w:val="24"/>
          <w:szCs w:val="24"/>
        </w:rPr>
        <w:t xml:space="preserve"> 9, no. 1 (1981): 107–22.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line="240"/>
        <w:ind w:left="360" w:hanging="360"/>
      </w:pPr>
      <w:r>
        <w:rPr>
          <w:rStyle w:val="FootnoteReference"/>
        </w:rPr>
        <w:footnoteRef/>
      </w:r>
      <w:r>
        <w:rPr>
          <w:rFonts w:ascii="Times New Roman" w:cs="Times New Roman" w:eastAsia="Times New Roman" w:hAnsi="Times New Roman"/>
          <w:sz w:val="20"/>
          <w:szCs w:val="20"/>
        </w:rPr>
        <w:t xml:space="preserve">Archie C. C. Lee, "Cross-Textual Hermeneutics and Identity in Multi-Scriptural Asia," in </w:t>
      </w:r>
      <w:r>
        <w:rPr>
          <w:rFonts w:ascii="Times New Roman" w:cs="Times New Roman" w:eastAsia="Times New Roman" w:hAnsi="Times New Roman"/>
          <w:i/>
          <w:iCs/>
          <w:sz w:val="20"/>
          <w:szCs w:val="20"/>
        </w:rPr>
        <w:t xml:space="preserve">Christian Theology in Asia</w:t>
      </w:r>
      <w:r>
        <w:rPr>
          <w:rFonts w:ascii="Times New Roman" w:cs="Times New Roman" w:eastAsia="Times New Roman" w:hAnsi="Times New Roman"/>
          <w:sz w:val="20"/>
          <w:szCs w:val="20"/>
        </w:rPr>
        <w:t xml:space="preserve">, ed. Sebastian C. H. Kim (Cambridge: Cambridge University Press, 2008), 179–204.</w:t>
      </w:r>
    </w:p>
  </w:footnote>
  <w:footnote w:id="2">
    <w:p>
      <w:pPr>
        <w:spacing w:line="240"/>
        <w:ind w:left="360" w:hanging="360"/>
      </w:pPr>
      <w:r>
        <w:rPr>
          <w:rStyle w:val="FootnoteReference"/>
        </w:rPr>
        <w:footnoteRef/>
      </w:r>
      <w:r>
        <w:rPr>
          <w:rFonts w:ascii="Times New Roman" w:cs="Times New Roman" w:eastAsia="Times New Roman" w:hAnsi="Times New Roman"/>
          <w:sz w:val="20"/>
          <w:szCs w:val="20"/>
        </w:rPr>
        <w:t xml:space="preserve">Lee Yearley, "Job and Confucius," </w:t>
      </w:r>
      <w:r>
        <w:rPr>
          <w:rFonts w:ascii="Times New Roman" w:cs="Times New Roman" w:eastAsia="Times New Roman" w:hAnsi="Times New Roman"/>
          <w:i/>
          <w:iCs/>
          <w:sz w:val="20"/>
          <w:szCs w:val="20"/>
        </w:rPr>
        <w:t xml:space="preserve">Journal of Religious Ethics</w:t>
      </w:r>
      <w:r>
        <w:rPr>
          <w:rFonts w:ascii="Times New Roman" w:cs="Times New Roman" w:eastAsia="Times New Roman" w:hAnsi="Times New Roman"/>
          <w:sz w:val="20"/>
          <w:szCs w:val="20"/>
        </w:rPr>
        <w:t xml:space="preserve"> 9, no. 1 (1981): 107–22.</w:t>
      </w:r>
    </w:p>
  </w:footnote>
  <w:footnote w:id="3">
    <w:p>
      <w:pPr>
        <w:spacing w:line="240"/>
        <w:ind w:left="360" w:hanging="360"/>
      </w:pPr>
      <w:r>
        <w:rPr>
          <w:rStyle w:val="FootnoteReference"/>
        </w:rPr>
        <w:footnoteRef/>
      </w:r>
      <w:r>
        <w:rPr>
          <w:rFonts w:ascii="Times New Roman" w:cs="Times New Roman" w:eastAsia="Times New Roman" w:hAnsi="Times New Roman"/>
          <w:sz w:val="20"/>
          <w:szCs w:val="20"/>
        </w:rPr>
        <w:t xml:space="preserve">Kenneth Surin, </w:t>
      </w:r>
      <w:r>
        <w:rPr>
          <w:rFonts w:ascii="Times New Roman" w:cs="Times New Roman" w:eastAsia="Times New Roman" w:hAnsi="Times New Roman"/>
          <w:i/>
          <w:iCs/>
          <w:sz w:val="20"/>
          <w:szCs w:val="20"/>
        </w:rPr>
        <w:t xml:space="preserve">Theology and the Problem of Evil</w:t>
      </w:r>
      <w:r>
        <w:rPr>
          <w:rFonts w:ascii="Times New Roman" w:cs="Times New Roman" w:eastAsia="Times New Roman" w:hAnsi="Times New Roman"/>
          <w:sz w:val="20"/>
          <w:szCs w:val="20"/>
        </w:rPr>
        <w:t xml:space="preserve"> (Oxford: Blackwell, 1986), 1–59.</w:t>
      </w:r>
    </w:p>
  </w:footnote>
  <w:footnote w:id="4">
    <w:p>
      <w:pPr>
        <w:spacing w:line="240"/>
        <w:ind w:left="360" w:hanging="360"/>
      </w:pPr>
      <w:r>
        <w:rPr>
          <w:rStyle w:val="FootnoteReference"/>
        </w:rPr>
        <w:footnoteRef/>
      </w:r>
      <w:r>
        <w:rPr>
          <w:rFonts w:ascii="Times New Roman" w:cs="Times New Roman" w:eastAsia="Times New Roman" w:hAnsi="Times New Roman"/>
          <w:sz w:val="20"/>
          <w:szCs w:val="20"/>
        </w:rPr>
        <w:t xml:space="preserve">Kwong-loi Shun, </w:t>
      </w:r>
      <w:r>
        <w:rPr>
          <w:rFonts w:ascii="Times New Roman" w:cs="Times New Roman" w:eastAsia="Times New Roman" w:hAnsi="Times New Roman"/>
          <w:i/>
          <w:iCs/>
          <w:sz w:val="20"/>
          <w:szCs w:val="20"/>
        </w:rPr>
        <w:t xml:space="preserve">Mencius and Early Chinese Thought</w:t>
      </w:r>
      <w:r>
        <w:rPr>
          <w:rFonts w:ascii="Times New Roman" w:cs="Times New Roman" w:eastAsia="Times New Roman" w:hAnsi="Times New Roman"/>
          <w:sz w:val="20"/>
          <w:szCs w:val="20"/>
        </w:rPr>
        <w:t xml:space="preserve"> (Stanford: Stanford University Press, 1997), 58–79.</w:t>
      </w:r>
    </w:p>
  </w:footnote>
  <w:footnote w:id="5">
    <w:p>
      <w:pPr>
        <w:spacing w:line="240"/>
        <w:ind w:left="360" w:hanging="360"/>
      </w:pPr>
      <w:r>
        <w:rPr>
          <w:rStyle w:val="FootnoteReference"/>
        </w:rPr>
        <w:footnoteRef/>
      </w:r>
      <w:r>
        <w:rPr>
          <w:rFonts w:ascii="Times New Roman" w:cs="Times New Roman" w:eastAsia="Times New Roman" w:hAnsi="Times New Roman"/>
          <w:sz w:val="20"/>
          <w:szCs w:val="20"/>
        </w:rPr>
        <w:t xml:space="preserve">Norman C. Habel, </w:t>
      </w:r>
      <w:r>
        <w:rPr>
          <w:rFonts w:ascii="Times New Roman" w:cs="Times New Roman" w:eastAsia="Times New Roman" w:hAnsi="Times New Roman"/>
          <w:i/>
          <w:iCs/>
          <w:sz w:val="20"/>
          <w:szCs w:val="20"/>
        </w:rPr>
        <w:t xml:space="preserve">The Book of Job: A Commentary</w:t>
      </w:r>
      <w:r>
        <w:rPr>
          <w:rFonts w:ascii="Times New Roman" w:cs="Times New Roman" w:eastAsia="Times New Roman" w:hAnsi="Times New Roman"/>
          <w:sz w:val="20"/>
          <w:szCs w:val="20"/>
        </w:rPr>
        <w:t xml:space="preserve">, OTL (Philadelphia: Westminster, 1985), 540–41.</w:t>
      </w:r>
    </w:p>
  </w:footnote>
  <w:footnote w:id="6">
    <w:p>
      <w:pPr>
        <w:spacing w:line="240"/>
        <w:ind w:left="360" w:hanging="360"/>
      </w:pPr>
      <w:r>
        <w:rPr>
          <w:rStyle w:val="FootnoteReference"/>
        </w:rPr>
        <w:footnoteRef/>
      </w:r>
      <w:r>
        <w:rPr>
          <w:rFonts w:ascii="Times New Roman" w:cs="Times New Roman" w:eastAsia="Times New Roman" w:hAnsi="Times New Roman"/>
          <w:sz w:val="20"/>
          <w:szCs w:val="20"/>
        </w:rPr>
        <w:t xml:space="preserve">Carol A. Newsom, </w:t>
      </w:r>
      <w:r>
        <w:rPr>
          <w:rFonts w:ascii="Times New Roman" w:cs="Times New Roman" w:eastAsia="Times New Roman" w:hAnsi="Times New Roman"/>
          <w:i/>
          <w:iCs/>
          <w:sz w:val="20"/>
          <w:szCs w:val="20"/>
        </w:rPr>
        <w:t xml:space="preserve">The Book of Job: A Contest of Moral Imaginations</w:t>
      </w:r>
      <w:r>
        <w:rPr>
          <w:rFonts w:ascii="Times New Roman" w:cs="Times New Roman" w:eastAsia="Times New Roman" w:hAnsi="Times New Roman"/>
          <w:sz w:val="20"/>
          <w:szCs w:val="20"/>
        </w:rPr>
        <w:t xml:space="preserve"> (New York: Oxford University Press, 2003), 236–37.</w:t>
      </w:r>
    </w:p>
  </w:footnote>
  <w:footnote w:id="7">
    <w:p>
      <w:pPr>
        <w:spacing w:line="240"/>
        <w:ind w:left="360" w:hanging="360"/>
      </w:pPr>
      <w:r>
        <w:rPr>
          <w:rStyle w:val="FootnoteReference"/>
        </w:rPr>
        <w:footnoteRef/>
      </w:r>
      <w:r>
        <w:rPr>
          <w:rFonts w:ascii="Times New Roman" w:cs="Times New Roman" w:eastAsia="Times New Roman" w:hAnsi="Times New Roman"/>
          <w:sz w:val="20"/>
          <w:szCs w:val="20"/>
        </w:rPr>
        <w:t xml:space="preserve">David J. A. Clines, </w:t>
      </w:r>
      <w:r>
        <w:rPr>
          <w:rFonts w:ascii="Times New Roman" w:cs="Times New Roman" w:eastAsia="Times New Roman" w:hAnsi="Times New Roman"/>
          <w:i/>
          <w:iCs/>
          <w:sz w:val="20"/>
          <w:szCs w:val="20"/>
        </w:rPr>
        <w:t xml:space="preserve">Job 38–42</w:t>
      </w:r>
      <w:r>
        <w:rPr>
          <w:rFonts w:ascii="Times New Roman" w:cs="Times New Roman" w:eastAsia="Times New Roman" w:hAnsi="Times New Roman"/>
          <w:sz w:val="20"/>
          <w:szCs w:val="20"/>
        </w:rPr>
        <w:t xml:space="preserve">, WBC 18B (Nashville: Thomas Nelson, 2011), ad loc.</w:t>
      </w:r>
    </w:p>
  </w:footnote>
  <w:footnote w:id="8">
    <w:p>
      <w:pPr>
        <w:spacing w:line="240"/>
        <w:ind w:left="360" w:hanging="360"/>
      </w:pPr>
      <w:r>
        <w:rPr>
          <w:rStyle w:val="FootnoteReference"/>
        </w:rPr>
        <w:footnoteRef/>
      </w:r>
      <w:r>
        <w:rPr>
          <w:rFonts w:ascii="Times New Roman" w:cs="Times New Roman" w:eastAsia="Times New Roman" w:hAnsi="Times New Roman"/>
          <w:sz w:val="20"/>
          <w:szCs w:val="20"/>
        </w:rPr>
        <w:t xml:space="preserve">Newsom, </w:t>
      </w:r>
      <w:r>
        <w:rPr>
          <w:rFonts w:ascii="Times New Roman" w:cs="Times New Roman" w:eastAsia="Times New Roman" w:hAnsi="Times New Roman"/>
          <w:i/>
          <w:iCs/>
          <w:sz w:val="20"/>
          <w:szCs w:val="20"/>
        </w:rPr>
        <w:t xml:space="preserve">Book of Job</w:t>
      </w:r>
      <w:r>
        <w:rPr>
          <w:rFonts w:ascii="Times New Roman" w:cs="Times New Roman" w:eastAsia="Times New Roman" w:hAnsi="Times New Roman"/>
          <w:sz w:val="20"/>
          <w:szCs w:val="20"/>
        </w:rPr>
        <w:t xml:space="preserve">, 151–52.</w:t>
      </w:r>
    </w:p>
  </w:footnote>
  <w:footnote w:id="9">
    <w:p>
      <w:pPr>
        <w:spacing w:line="240"/>
        <w:ind w:left="360" w:hanging="360"/>
      </w:pPr>
      <w:r>
        <w:rPr>
          <w:rStyle w:val="FootnoteReference"/>
        </w:rPr>
        <w:footnoteRef/>
      </w:r>
      <w:r>
        <w:rPr>
          <w:rFonts w:ascii="Times New Roman" w:cs="Times New Roman" w:eastAsia="Times New Roman" w:hAnsi="Times New Roman"/>
          <w:sz w:val="20"/>
          <w:szCs w:val="20"/>
        </w:rPr>
        <w:t xml:space="preserve">Habel, </w:t>
      </w:r>
      <w:r>
        <w:rPr>
          <w:rFonts w:ascii="Times New Roman" w:cs="Times New Roman" w:eastAsia="Times New Roman" w:hAnsi="Times New Roman"/>
          <w:i/>
          <w:iCs/>
          <w:sz w:val="20"/>
          <w:szCs w:val="20"/>
        </w:rPr>
        <w:t xml:space="preserve">Book of Job</w:t>
      </w:r>
      <w:r>
        <w:rPr>
          <w:rFonts w:ascii="Times New Roman" w:cs="Times New Roman" w:eastAsia="Times New Roman" w:hAnsi="Times New Roman"/>
          <w:sz w:val="20"/>
          <w:szCs w:val="20"/>
        </w:rPr>
        <w:t xml:space="preserve">, 339.</w:t>
      </w:r>
    </w:p>
  </w:footnote>
  <w:footnote w:id="10">
    <w:p>
      <w:pPr>
        <w:spacing w:line="240"/>
        <w:ind w:left="360" w:hanging="360"/>
      </w:pPr>
      <w:r>
        <w:rPr>
          <w:rStyle w:val="FootnoteReference"/>
        </w:rPr>
        <w:footnoteRef/>
      </w:r>
      <w:r>
        <w:rPr>
          <w:rFonts w:ascii="Times New Roman" w:cs="Times New Roman" w:eastAsia="Times New Roman" w:hAnsi="Times New Roman"/>
          <w:sz w:val="20"/>
          <w:szCs w:val="20"/>
        </w:rPr>
        <w:t xml:space="preserve">Bryan W. Van Norden, trans., </w:t>
      </w:r>
      <w:r>
        <w:rPr>
          <w:rFonts w:ascii="Times New Roman" w:cs="Times New Roman" w:eastAsia="Times New Roman" w:hAnsi="Times New Roman"/>
          <w:i/>
          <w:iCs/>
          <w:sz w:val="20"/>
          <w:szCs w:val="20"/>
        </w:rPr>
        <w:t xml:space="preserve">Mengzi: With Selections from Traditional Commentaries</w:t>
      </w:r>
      <w:r>
        <w:rPr>
          <w:rFonts w:ascii="Times New Roman" w:cs="Times New Roman" w:eastAsia="Times New Roman" w:hAnsi="Times New Roman"/>
          <w:sz w:val="20"/>
          <w:szCs w:val="20"/>
        </w:rPr>
        <w:t xml:space="preserve"> (Indianapolis: Hackett, 2008), 162 (Mengzi 6B15).</w:t>
      </w:r>
    </w:p>
  </w:footnote>
  <w:footnote w:id="11">
    <w:p>
      <w:pPr>
        <w:spacing w:line="240"/>
        <w:ind w:left="360" w:hanging="360"/>
      </w:pPr>
      <w:r>
        <w:rPr>
          <w:rStyle w:val="FootnoteReference"/>
        </w:rPr>
        <w:footnoteRef/>
      </w:r>
      <w:r>
        <w:rPr>
          <w:rFonts w:ascii="Times New Roman" w:cs="Times New Roman" w:eastAsia="Times New Roman" w:hAnsi="Times New Roman"/>
          <w:sz w:val="20"/>
          <w:szCs w:val="20"/>
        </w:rPr>
        <w:t xml:space="preserve">A. C. Graham, </w:t>
      </w:r>
      <w:r>
        <w:rPr>
          <w:rFonts w:ascii="Times New Roman" w:cs="Times New Roman" w:eastAsia="Times New Roman" w:hAnsi="Times New Roman"/>
          <w:i/>
          <w:iCs/>
          <w:sz w:val="20"/>
          <w:szCs w:val="20"/>
        </w:rPr>
        <w:t xml:space="preserve">Disputers of the Tao: Philosophical Argument in Ancient China</w:t>
      </w:r>
      <w:r>
        <w:rPr>
          <w:rFonts w:ascii="Times New Roman" w:cs="Times New Roman" w:eastAsia="Times New Roman" w:hAnsi="Times New Roman"/>
          <w:sz w:val="20"/>
          <w:szCs w:val="20"/>
        </w:rPr>
        <w:t xml:space="preserve"> (La Salle, IL: Open Court, 1989), 116–32.</w:t>
      </w:r>
    </w:p>
  </w:footnote>
  <w:footnote w:id="12">
    <w:p>
      <w:pPr>
        <w:spacing w:line="240"/>
        <w:ind w:left="360" w:hanging="360"/>
      </w:pPr>
      <w:r>
        <w:rPr>
          <w:rStyle w:val="FootnoteReference"/>
        </w:rPr>
        <w:footnoteRef/>
      </w:r>
      <w:r>
        <w:rPr>
          <w:rFonts w:ascii="Times New Roman" w:cs="Times New Roman" w:eastAsia="Times New Roman" w:hAnsi="Times New Roman"/>
          <w:sz w:val="20"/>
          <w:szCs w:val="20"/>
        </w:rPr>
        <w:t xml:space="preserve">Philip J. Ivanhoe, </w:t>
      </w:r>
      <w:r>
        <w:rPr>
          <w:rFonts w:ascii="Times New Roman" w:cs="Times New Roman" w:eastAsia="Times New Roman" w:hAnsi="Times New Roman"/>
          <w:i/>
          <w:iCs/>
          <w:sz w:val="20"/>
          <w:szCs w:val="20"/>
        </w:rPr>
        <w:t xml:space="preserve">Ethics in the Confucian Tradition: The Thought of Mengzi and Wang Yangming</w:t>
      </w:r>
      <w:r>
        <w:rPr>
          <w:rFonts w:ascii="Times New Roman" w:cs="Times New Roman" w:eastAsia="Times New Roman" w:hAnsi="Times New Roman"/>
          <w:sz w:val="20"/>
          <w:szCs w:val="20"/>
        </w:rPr>
        <w:t xml:space="preserve">, 2nd ed. (Indianapolis: Hackett, 2002), 89.</w:t>
      </w:r>
    </w:p>
  </w:footnote>
  <w:footnote w:id="13">
    <w:p>
      <w:pPr>
        <w:spacing w:line="240"/>
        <w:ind w:left="360" w:hanging="360"/>
      </w:pPr>
      <w:r>
        <w:rPr>
          <w:rStyle w:val="FootnoteReference"/>
        </w:rPr>
        <w:footnoteRef/>
      </w:r>
      <w:r>
        <w:rPr>
          <w:rFonts w:ascii="Times New Roman" w:cs="Times New Roman" w:eastAsia="Times New Roman" w:hAnsi="Times New Roman"/>
          <w:sz w:val="20"/>
          <w:szCs w:val="20"/>
        </w:rPr>
        <w:t xml:space="preserve">Choon-Leong Seow, </w:t>
      </w:r>
      <w:r>
        <w:rPr>
          <w:rFonts w:ascii="Times New Roman" w:cs="Times New Roman" w:eastAsia="Times New Roman" w:hAnsi="Times New Roman"/>
          <w:i/>
          <w:iCs/>
          <w:sz w:val="20"/>
          <w:szCs w:val="20"/>
        </w:rPr>
        <w:t xml:space="preserve">Job 1–21: Interpretation and Commentary</w:t>
      </w:r>
      <w:r>
        <w:rPr>
          <w:rFonts w:ascii="Times New Roman" w:cs="Times New Roman" w:eastAsia="Times New Roman" w:hAnsi="Times New Roman"/>
          <w:sz w:val="20"/>
          <w:szCs w:val="20"/>
        </w:rPr>
        <w:t xml:space="preserve">, Illuminations (Grand Rapids: Eerdmans, 2013), 97.</w:t>
      </w:r>
    </w:p>
  </w:footnote>
  <w:footnote w:id="14">
    <w:p>
      <w:pPr>
        <w:spacing w:line="240"/>
        <w:ind w:left="360" w:hanging="360"/>
      </w:pPr>
      <w:r>
        <w:rPr>
          <w:rStyle w:val="FootnoteReference"/>
        </w:rPr>
        <w:footnoteRef/>
      </w:r>
      <w:r>
        <w:rPr>
          <w:rFonts w:ascii="Times New Roman" w:cs="Times New Roman" w:eastAsia="Times New Roman" w:hAnsi="Times New Roman"/>
          <w:sz w:val="20"/>
          <w:szCs w:val="20"/>
        </w:rPr>
        <w:t xml:space="preserve">Van Norden, </w:t>
      </w:r>
      <w:r>
        <w:rPr>
          <w:rFonts w:ascii="Times New Roman" w:cs="Times New Roman" w:eastAsia="Times New Roman" w:hAnsi="Times New Roman"/>
          <w:i/>
          <w:iCs/>
          <w:sz w:val="20"/>
          <w:szCs w:val="20"/>
        </w:rPr>
        <w:t xml:space="preserve">Mengzi</w:t>
      </w:r>
      <w:r>
        <w:rPr>
          <w:rFonts w:ascii="Times New Roman" w:cs="Times New Roman" w:eastAsia="Times New Roman" w:hAnsi="Times New Roman"/>
          <w:sz w:val="20"/>
          <w:szCs w:val="20"/>
        </w:rPr>
        <w:t xml:space="preserve">, 2 (Mengzi 1A1).</w:t>
      </w:r>
    </w:p>
  </w:footnote>
  <w:footnote w:id="15">
    <w:p>
      <w:pPr>
        <w:spacing w:line="240"/>
        <w:ind w:left="360" w:hanging="360"/>
      </w:pPr>
      <w:r>
        <w:rPr>
          <w:rStyle w:val="FootnoteReference"/>
        </w:rPr>
        <w:footnoteRef/>
      </w:r>
      <w:r>
        <w:rPr>
          <w:rFonts w:ascii="Times New Roman" w:cs="Times New Roman" w:eastAsia="Times New Roman" w:hAnsi="Times New Roman"/>
          <w:sz w:val="20"/>
          <w:szCs w:val="20"/>
        </w:rPr>
        <w:t xml:space="preserve">Van Norden, </w:t>
      </w:r>
      <w:r>
        <w:rPr>
          <w:rFonts w:ascii="Times New Roman" w:cs="Times New Roman" w:eastAsia="Times New Roman" w:hAnsi="Times New Roman"/>
          <w:i/>
          <w:iCs/>
          <w:sz w:val="20"/>
          <w:szCs w:val="20"/>
        </w:rPr>
        <w:t xml:space="preserve">Mengzi</w:t>
      </w:r>
      <w:r>
        <w:rPr>
          <w:rFonts w:ascii="Times New Roman" w:cs="Times New Roman" w:eastAsia="Times New Roman" w:hAnsi="Times New Roman"/>
          <w:sz w:val="20"/>
          <w:szCs w:val="20"/>
        </w:rPr>
        <w:t xml:space="preserve">, 170 (Mengzi 7A1).</w:t>
      </w:r>
    </w:p>
  </w:footnote>
  <w:footnote w:id="16">
    <w:p>
      <w:pPr>
        <w:spacing w:line="240"/>
        <w:ind w:left="360" w:hanging="360"/>
      </w:pPr>
      <w:r>
        <w:rPr>
          <w:rStyle w:val="FootnoteReference"/>
        </w:rPr>
        <w:footnoteRef/>
      </w:r>
      <w:r>
        <w:rPr>
          <w:rFonts w:ascii="Times New Roman" w:cs="Times New Roman" w:eastAsia="Times New Roman" w:hAnsi="Times New Roman"/>
          <w:sz w:val="20"/>
          <w:szCs w:val="20"/>
        </w:rPr>
        <w:t xml:space="preserve">R. S. Sugirtharajah, </w:t>
      </w:r>
      <w:r>
        <w:rPr>
          <w:rFonts w:ascii="Times New Roman" w:cs="Times New Roman" w:eastAsia="Times New Roman" w:hAnsi="Times New Roman"/>
          <w:i/>
          <w:iCs/>
          <w:sz w:val="20"/>
          <w:szCs w:val="20"/>
        </w:rPr>
        <w:t xml:space="preserve">The Bible and the Third World: Precolonial, Colonial, and Postcolonial Encounters</w:t>
      </w:r>
      <w:r>
        <w:rPr>
          <w:rFonts w:ascii="Times New Roman" w:cs="Times New Roman" w:eastAsia="Times New Roman" w:hAnsi="Times New Roman"/>
          <w:sz w:val="20"/>
          <w:szCs w:val="20"/>
        </w:rPr>
        <w:t xml:space="preserve"> (Cambridge: Cambridge University Press, 2001), 246–48.</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2026-06-11T23:36:41.201Z</dcterms:created>
  <dcterms:modified xsi:type="dcterms:W3CDTF">2026-06-11T23:36:41.201Z</dcterms:modified>
</cp:coreProperties>
</file>

<file path=docProps/custom.xml><?xml version="1.0" encoding="utf-8"?>
<Properties xmlns="http://schemas.openxmlformats.org/officeDocument/2006/custom-properties" xmlns:vt="http://schemas.openxmlformats.org/officeDocument/2006/docPropsVTypes"/>
</file>