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SimSun" w:cs="SimSun" w:eastAsia="SimSun" w:hAnsi="SimSun"/>
          <w:b/>
          <w:bCs/>
          <w:sz w:val="24"/>
          <w:szCs w:val="24"/>
        </w:rPr>
        <w:t xml:space="preserve">苦难中的神圣旨意：《约伯记》与《孟子》神义论与道德成长之跨文本研究</w:t>
      </w:r>
    </w:p>
    <w:p>
      <w:pPr>
        <w:spacing w:after="240" w:before="0" w:line="480" w:lineRule="auto"/>
        <w:jc w:val="center"/>
      </w:pPr>
      <w:r>
        <w:rPr>
          <w:rFonts w:ascii="SimSun" w:cs="SimSun" w:eastAsia="SimSun" w:hAnsi="SimSun"/>
          <w:sz w:val="24"/>
          <w:szCs w:val="24"/>
        </w:rPr>
        <w:t xml:space="preserve">(Divine Purpose in Human Suffering: Theodicy and Moral Formation in Job and Mencius)</w:t>
      </w:r>
    </w:p>
    <w:p>
      <w:pPr>
        <w:spacing w:after="480" w:before="0" w:line="480" w:lineRule="auto"/>
        <w:jc w:val="center"/>
      </w:pPr>
      <w:r>
        <w:rPr>
          <w:rFonts w:ascii="SimSun" w:cs="SimSun" w:eastAsia="SimSun" w:hAnsi="SimSun"/>
          <w:b/>
          <w:bCs/>
          <w:sz w:val="24"/>
          <w:szCs w:val="24"/>
        </w:rPr>
        <w:t xml:space="preserve">侯利民</w:t>
      </w:r>
    </w:p>
    <w:p>
      <w:pPr>
        <w:spacing w:after="0" w:before="0" w:line="480" w:lineRule="auto"/>
      </w:pPr>
      <w:r>
        <w:rPr>
          <w:rFonts w:ascii="SimSun" w:cs="SimSun" w:eastAsia="SimSun" w:hAnsi="SimSun"/>
          <w:b/>
          <w:bCs/>
          <w:sz w:val="24"/>
          <w:szCs w:val="24"/>
        </w:rPr>
        <w:t xml:space="preserve">摘要 (Abstract)</w:t>
      </w:r>
    </w:p>
    <w:p>
      <w:pPr>
        <w:spacing w:line="480" w:lineRule="auto"/>
        <w:ind w:firstLine="720"/>
      </w:pPr>
      <w:r>
        <w:rPr>
          <w:rFonts w:ascii="SimSun" w:cs="SimSun" w:eastAsia="SimSun" w:hAnsi="SimSun"/>
          <w:sz w:val="24"/>
          <w:szCs w:val="24"/>
        </w:rPr>
        <w:t xml:space="preserve">本文运用跨文本诠释学，对《约伯记》与《孟子·告子下》进行比较研究，论证这两部文本就苦难在道德成长中所扮演的角色提供了一种辩证性的、富有启发意义的对照。本文以李炽昌 (Archie C. C. Lee) 的跨文本诠释学作为方法论框架，将“苦难究竟是在宇宙秩序之内促进还是摧毁美德”这一共同核心问题确立为比较基础 (</w:t>
      </w:r>
      <w:r>
        <w:rPr>
          <w:rFonts w:ascii="SimSun" w:cs="SimSun" w:eastAsia="SimSun" w:hAnsi="SimSun"/>
          <w:i/>
          <w:iCs/>
          <w:sz w:val="24"/>
          <w:szCs w:val="24"/>
        </w:rPr>
        <w:t xml:space="preserve">tertium comparationis</w:t>
      </w:r>
      <w:r>
        <w:rPr>
          <w:rFonts w:ascii="SimSun" w:cs="SimSun" w:eastAsia="SimSun" w:hAnsi="SimSun"/>
          <w:sz w:val="24"/>
          <w:szCs w:val="24"/>
        </w:rPr>
        <w:t xml:space="preserve">)，从而为跨越不同形而上学传统的比较提供合法性依据，而无需预设两者形而上学的可通约性。《约伯记》通过描绘无辜受苦者以彰显“完整性” (</w:t>
      </w:r>
      <w:r>
        <w:rPr>
          <w:rFonts w:ascii="SimSun" w:cs="SimSun" w:eastAsia="SimSun" w:hAnsi="SimSun"/>
          <w:i/>
          <w:iCs/>
          <w:sz w:val="24"/>
          <w:szCs w:val="24"/>
        </w:rPr>
        <w:t xml:space="preserve">tummâ</w:t>
      </w:r>
      <w:r>
        <w:rPr>
          <w:rFonts w:ascii="SimSun" w:cs="SimSun" w:eastAsia="SimSun" w:hAnsi="SimSun"/>
          <w:sz w:val="24"/>
          <w:szCs w:val="24"/>
        </w:rPr>
        <w:t xml:space="preserve">, תֻמָּה) 的神圣考验，拆解了申命记式的报应神学，并在神显 (theophany) 经历中实现了知识论的转化。孟子则阐明，天 (</w:t>
      </w:r>
      <w:r>
        <w:rPr>
          <w:rFonts w:ascii="SimSun" w:cs="SimSun" w:eastAsia="SimSun" w:hAnsi="SimSun"/>
          <w:i/>
          <w:iCs/>
          <w:sz w:val="24"/>
          <w:szCs w:val="24"/>
        </w:rPr>
        <w:t xml:space="preserve">tian</w:t>
      </w:r>
      <w:r>
        <w:rPr>
          <w:rFonts w:ascii="SimSun" w:cs="SimSun" w:eastAsia="SimSun" w:hAnsi="SimSun"/>
          <w:sz w:val="24"/>
          <w:szCs w:val="24"/>
        </w:rPr>
        <w:t xml:space="preserve">, Heaven) 借助系统性的品格塑造，将逆境作为培育仁 (</w:t>
      </w:r>
      <w:r>
        <w:rPr>
          <w:rFonts w:ascii="SimSun" w:cs="SimSun" w:eastAsia="SimSun" w:hAnsi="SimSun"/>
          <w:i/>
          <w:iCs/>
          <w:sz w:val="24"/>
          <w:szCs w:val="24"/>
        </w:rPr>
        <w:t xml:space="preserve">ren</w:t>
      </w:r>
      <w:r>
        <w:rPr>
          <w:rFonts w:ascii="SimSun" w:cs="SimSun" w:eastAsia="SimSun" w:hAnsi="SimSun"/>
          <w:sz w:val="24"/>
          <w:szCs w:val="24"/>
        </w:rPr>
        <w:t xml:space="preserve">, benevolence) 与义 (</w:t>
      </w:r>
      <w:r>
        <w:rPr>
          <w:rFonts w:ascii="SimSun" w:cs="SimSun" w:eastAsia="SimSun" w:hAnsi="SimSun"/>
          <w:i/>
          <w:iCs/>
          <w:sz w:val="24"/>
          <w:szCs w:val="24"/>
        </w:rPr>
        <w:t xml:space="preserve">yi</w:t>
      </w:r>
      <w:r>
        <w:rPr>
          <w:rFonts w:ascii="SimSun" w:cs="SimSun" w:eastAsia="SimSun" w:hAnsi="SimSun"/>
          <w:sz w:val="24"/>
          <w:szCs w:val="24"/>
        </w:rPr>
        <w:t xml:space="preserve">, righteousness) 的刻意教化手段。尽管两部文本在神圣力量的性质、知识论的进路以及目的论的清晰度上存在根本分歧，但二者的并置却产生了一条第三道路，足以抗御报应论的决定主义与虚无主义意义失落这两种困境。这项跨文本研究表明，儒家思想能够丰富圣经诠释，揭示出长期被希腊罗马哲学框架所遮蔽的约伯神义论层面。</w:t>
      </w:r>
    </w:p>
    <w:p>
      <w:pPr>
        <w:spacing w:after="240" w:before="240" w:line="480" w:lineRule="auto"/>
      </w:pPr>
      <w:r>
        <w:rPr>
          <w:rFonts w:ascii="SimSun" w:cs="SimSun" w:eastAsia="SimSun" w:hAnsi="SimSun"/>
          <w:b/>
          <w:bCs/>
          <w:sz w:val="24"/>
          <w:szCs w:val="24"/>
        </w:rPr>
        <w:t xml:space="preserve">关键词 (Keywords)：</w:t>
      </w:r>
      <w:r>
        <w:rPr>
          <w:rFonts w:ascii="SimSun" w:cs="SimSun" w:eastAsia="SimSun" w:hAnsi="SimSun"/>
          <w:sz w:val="24"/>
          <w:szCs w:val="24"/>
        </w:rPr>
        <w:t xml:space="preserve">约伯记 (Job)；孟子 (Mencius)；神义论 (theodicy)；跨文本诠释学 (cross-textual hermeneutics)；道德成长 (moral formation)；苦难 (suffering)；比较宗教学 (comparative religion)</w:t>
      </w:r>
    </w:p>
    <w:p>
      <w:pPr>
        <w:spacing w:after="0" w:before="360" w:line="480" w:lineRule="auto"/>
      </w:pPr>
      <w:r>
        <w:rPr>
          <w:rFonts w:ascii="SimSun" w:cs="SimSun" w:eastAsia="SimSun" w:hAnsi="SimSun"/>
          <w:b/>
          <w:bCs/>
          <w:sz w:val="24"/>
          <w:szCs w:val="24"/>
        </w:rPr>
        <w:t xml:space="preserve">引言 (Introduction)</w:t>
      </w:r>
    </w:p>
    <w:p>
      <w:pPr>
        <w:spacing w:line="480" w:lineRule="auto"/>
        <w:ind w:firstLine="720"/>
      </w:pPr>
      <w:r>
        <w:rPr>
          <w:rFonts w:ascii="SimSun" w:cs="SimSun" w:eastAsia="SimSun" w:hAnsi="SimSun"/>
          <w:sz w:val="24"/>
          <w:szCs w:val="24"/>
        </w:rPr>
        <w:t xml:space="preserve">苦难与道德成长之关系，是世界各大宗教传统所持续面对的核心议题。本研究通过希伯来智慧文学 (Hebrew wisdom literature) 与先秦儒家思想的比较分析，探讨《约伯记》与《孟子·告子下》如何相互阐明。西方学界已就约伯对报应正义 (retributive justice) 的追问投入大量研究，但孟子关于逆境与道德成长的思想与圣经文本之间的比较研究却仍严重匹乏。</w:t>
      </w:r>
    </w:p>
    <w:p>
      <w:pPr>
        <w:spacing w:line="480" w:lineRule="auto"/>
        <w:ind w:firstLine="720"/>
      </w:pPr>
      <w:r>
        <w:rPr>
          <w:rFonts w:ascii="SimSun" w:cs="SimSun" w:eastAsia="SimSun" w:hAnsi="SimSun"/>
          <w:sz w:val="24"/>
          <w:szCs w:val="24"/>
        </w:rPr>
        <w:t xml:space="preserve">当前学术界存在三大显著研究空白：其一，古近东智慧文学与战国时期中国哲学之间实质性的对话有待深入开展；其二，约伯神义论与儒家道德修养框架之间的关联尚欠充分；其三，圣经研究与非亚伯拉罕传统之间的跨文本诠释互动仍然有限。近期比较神学研究已着手填补上述空白，然而约伯与孟子在神义论问题上的具体比较至今仍未得到充分探讨——尤其是关于两部文本如何将苦难概念化为道德转化而非惩罚的问题。</w:t>
      </w:r>
    </w:p>
    <w:p>
      <w:pPr>
        <w:spacing w:line="480" w:lineRule="auto"/>
        <w:ind w:firstLine="720"/>
      </w:pPr>
      <w:r>
        <w:rPr>
          <w:rFonts w:ascii="SimSun" w:cs="SimSun" w:eastAsia="SimSun" w:hAnsi="SimSun"/>
          <w:sz w:val="24"/>
          <w:szCs w:val="24"/>
        </w:rPr>
        <w:t xml:space="preserve">本文以李炽昌 (Archie C. C. Lee) 的跨文本诠释学作为方法论框架。</w:t>
      </w:r>
      <w:r>
        <w:rPr>
          <w:rStyle w:val="FootnoteReference"/>
        </w:rPr>
        <w:footnoteReference w:id="1"/>
      </w:r>
      <w:r>
        <w:rPr>
          <w:rFonts w:ascii="SimSun" w:cs="SimSun" w:eastAsia="SimSun" w:hAnsi="SimSun"/>
          <w:sz w:val="24"/>
          <w:szCs w:val="24"/>
        </w:rPr>
        <w:t xml:space="preserve">跨文本诠释学允许不同经典传统展开对话，同时保持各自的文本语境，从而避免融合主义 (syncretism) 与错误等同 (false equivalence)——这在比较两部源自根本不同的宇宙论与救赎论框架的文本时尤为关键。该方法的操作步骤是：确立共同的核心问题，在各文本自身的逻辑框架内分别加以分析，进而让相互阐明在并置而非综合之中自然涌现。本文的比较基础 (</w:t>
      </w:r>
      <w:r>
        <w:rPr>
          <w:rFonts w:ascii="SimSun" w:cs="SimSun" w:eastAsia="SimSun" w:hAnsi="SimSun"/>
          <w:i/>
          <w:iCs/>
          <w:sz w:val="24"/>
          <w:szCs w:val="24"/>
        </w:rPr>
        <w:t xml:space="preserve">tertium comparationis</w:t>
      </w:r>
      <w:r>
        <w:rPr>
          <w:rFonts w:ascii="SimSun" w:cs="SimSun" w:eastAsia="SimSun" w:hAnsi="SimSun"/>
          <w:sz w:val="24"/>
          <w:szCs w:val="24"/>
        </w:rPr>
        <w:t xml:space="preserve">) 是：苦难究竟是在宇宙秩序框架内促进还是摧毁美德，以及神圣力量在此过程中扮演何种角色——这一共同问题的存在，无需预设形而上学的可通约性即可为比较提供合法性依据。《约伯记》通过描绘无辜受苦作为对“完整性” (</w:t>
      </w:r>
      <w:r>
        <w:rPr>
          <w:rFonts w:ascii="SimSun" w:cs="SimSun" w:eastAsia="SimSun" w:hAnsi="SimSun"/>
          <w:i/>
          <w:iCs/>
          <w:sz w:val="24"/>
          <w:szCs w:val="24"/>
        </w:rPr>
        <w:t xml:space="preserve">tummâ</w:t>
      </w:r>
      <w:r>
        <w:rPr>
          <w:rFonts w:ascii="SimSun" w:cs="SimSun" w:eastAsia="SimSun" w:hAnsi="SimSun"/>
          <w:sz w:val="24"/>
          <w:szCs w:val="24"/>
        </w:rPr>
        <w:t xml:space="preserve">) 的考验，拆解了申命记式的报应神学，并通过神显导向知识论的转化。孟子则展示天如何通过系统性的品格塑造运用逆境，以培育仁 (</w:t>
      </w:r>
      <w:r>
        <w:rPr>
          <w:rFonts w:ascii="SimSun" w:cs="SimSun" w:eastAsia="SimSun" w:hAnsi="SimSun"/>
          <w:i/>
          <w:iCs/>
          <w:sz w:val="24"/>
          <w:szCs w:val="24"/>
        </w:rPr>
        <w:t xml:space="preserve">ren</w:t>
      </w:r>
      <w:r>
        <w:rPr>
          <w:rFonts w:ascii="SimSun" w:cs="SimSun" w:eastAsia="SimSun" w:hAnsi="SimSun"/>
          <w:sz w:val="24"/>
          <w:szCs w:val="24"/>
        </w:rPr>
        <w:t xml:space="preserve">) 与义 (</w:t>
      </w:r>
      <w:r>
        <w:rPr>
          <w:rFonts w:ascii="SimSun" w:cs="SimSun" w:eastAsia="SimSun" w:hAnsi="SimSun"/>
          <w:i/>
          <w:iCs/>
          <w:sz w:val="24"/>
          <w:szCs w:val="24"/>
        </w:rPr>
        <w:t xml:space="preserve">yi</w:t>
      </w:r>
      <w:r>
        <w:rPr>
          <w:rFonts w:ascii="SimSun" w:cs="SimSun" w:eastAsia="SimSun" w:hAnsi="SimSun"/>
          <w:sz w:val="24"/>
          <w:szCs w:val="24"/>
        </w:rPr>
        <w:t xml:space="preserve">)。这一对话为圣经诠释及当代对苦难之目的的神学理解提供了新的洞见。</w:t>
      </w:r>
    </w:p>
    <w:p>
      <w:pPr>
        <w:spacing w:after="0" w:before="360" w:line="480" w:lineRule="auto"/>
      </w:pPr>
      <w:r>
        <w:rPr>
          <w:rFonts w:ascii="SimSun" w:cs="SimSun" w:eastAsia="SimSun" w:hAnsi="SimSun"/>
          <w:b/>
          <w:bCs/>
          <w:sz w:val="24"/>
          <w:szCs w:val="24"/>
        </w:rPr>
        <w:t xml:space="preserve">约伯的存在危机 (Job's Existential Crisis)</w:t>
      </w:r>
    </w:p>
    <w:p>
      <w:pPr>
        <w:spacing w:line="480" w:lineRule="auto"/>
        <w:ind w:firstLine="720"/>
      </w:pPr>
      <w:r>
        <w:rPr>
          <w:rFonts w:ascii="SimSun" w:cs="SimSun" w:eastAsia="SimSun" w:hAnsi="SimSun"/>
          <w:sz w:val="24"/>
          <w:szCs w:val="24"/>
        </w:rPr>
        <w:t xml:space="preserve">《约伯记》通过展示苦难如何制造出超越人类因果理解的道德与神学危机，从而颠覆了申命记式的报应原则 (Deuteronomic retribution principle)。约伯所经历的财产、健康与社会地位的骤然失去（约伯记 1:14–17；2:7–8；19:13–19），直接违背了以色列主流智慧传统所预设的道德行为与物质结果之间的可靠对应关系。约伯的存在崩溃，体现于他从被公认为完全人 (</w:t>
      </w:r>
      <w:r>
        <w:rPr>
          <w:rFonts w:ascii="SimSun" w:cs="SimSun" w:eastAsia="SimSun" w:hAnsi="SimSun"/>
          <w:i/>
          <w:iCs/>
          <w:sz w:val="24"/>
          <w:szCs w:val="24"/>
        </w:rPr>
        <w:t xml:space="preserve">tām</w:t>
      </w:r>
      <w:r>
        <w:rPr>
          <w:rFonts w:ascii="SimSun" w:cs="SimSun" w:eastAsia="SimSun" w:hAnsi="SimSun"/>
          <w:sz w:val="24"/>
          <w:szCs w:val="24"/>
        </w:rPr>
        <w:t xml:space="preserve">, תָם) 与正直人 (</w:t>
      </w:r>
      <w:r>
        <w:rPr>
          <w:rFonts w:ascii="SimSun" w:cs="SimSun" w:eastAsia="SimSun" w:hAnsi="SimSun"/>
          <w:i/>
          <w:iCs/>
          <w:sz w:val="24"/>
          <w:szCs w:val="24"/>
        </w:rPr>
        <w:t xml:space="preserve">yāšār</w:t>
      </w:r>
      <w:r>
        <w:rPr>
          <w:rFonts w:ascii="SimSun" w:cs="SimSun" w:eastAsia="SimSun" w:hAnsi="SimSun"/>
          <w:sz w:val="24"/>
          <w:szCs w:val="24"/>
        </w:rPr>
        <w:t xml:space="preserve">, יָשָׁר)——即品格完整性之见证（约伯记 1:1）——到质疑神圣正义本身的转变过程之中。</w:t>
      </w:r>
    </w:p>
    <w:p>
      <w:pPr>
        <w:spacing w:line="480" w:lineRule="auto"/>
        <w:ind w:firstLine="720"/>
      </w:pPr>
      <w:r>
        <w:rPr>
          <w:rFonts w:ascii="SimSun" w:cs="SimSun" w:eastAsia="SimSun" w:hAnsi="SimSun"/>
          <w:sz w:val="24"/>
          <w:szCs w:val="24"/>
        </w:rPr>
        <w:t xml:space="preserve">约伯危机的核心在于“完整性” (</w:t>
      </w:r>
      <w:r>
        <w:rPr>
          <w:rFonts w:ascii="SimSun" w:cs="SimSun" w:eastAsia="SimSun" w:hAnsi="SimSun"/>
          <w:i/>
          <w:iCs/>
          <w:sz w:val="24"/>
          <w:szCs w:val="24"/>
        </w:rPr>
        <w:t xml:space="preserve">tummâ</w:t>
      </w:r>
      <w:r>
        <w:rPr>
          <w:rFonts w:ascii="SimSun" w:cs="SimSun" w:eastAsia="SimSun" w:hAnsi="SimSun"/>
          <w:sz w:val="24"/>
          <w:szCs w:val="24"/>
        </w:rPr>
        <w:t xml:space="preserve">, תֻמָּה) 这一概念——神自己引以为考验依据的品格特质（约伯记 2:3）。该词所指并非单纯的道德合规，而是品格的完整性：内心处置、外在行动与对神之关系三者的有机整合，不可化约为规则遵从。约伯的抗议与其说是信仰的失败，不如说正是在攻击之下对这种完整性的坚守；他拒绝作出虚假认罪，正是“完整性” (</w:t>
      </w:r>
      <w:r>
        <w:rPr>
          <w:rFonts w:ascii="SimSun" w:cs="SimSun" w:eastAsia="SimSun" w:hAnsi="SimSun"/>
          <w:i/>
          <w:iCs/>
          <w:sz w:val="24"/>
          <w:szCs w:val="24"/>
        </w:rPr>
        <w:t xml:space="preserve">tummâ</w:t>
      </w:r>
      <w:r>
        <w:rPr>
          <w:rFonts w:ascii="SimSun" w:cs="SimSun" w:eastAsia="SimSun" w:hAnsi="SimSun"/>
          <w:sz w:val="24"/>
          <w:szCs w:val="24"/>
        </w:rPr>
        <w:t xml:space="preserve">) 在最严峻形态下的彰显。</w:t>
      </w:r>
    </w:p>
    <w:p>
      <w:pPr>
        <w:spacing w:line="480" w:lineRule="auto"/>
        <w:ind w:firstLine="720"/>
      </w:pPr>
      <w:r>
        <w:rPr>
          <w:rFonts w:ascii="SimSun" w:cs="SimSun" w:eastAsia="SimSun" w:hAnsi="SimSun"/>
          <w:sz w:val="24"/>
          <w:szCs w:val="24"/>
        </w:rPr>
        <w:t xml:space="preserve">这场核心冲突并非源于约伯的罪，而是源于相互竞争的神学框架。约伯以“恶人为何得享长寿？”（约伯记 21:7）这一问题表达其苦痛，从根本上挑战了朋友们所倡导的报应体系。朋友们预设了一种要求以惩罚对应罪恶的机械道德因果律，而约伯则力图在简单道德方程之外认识神的本性。</w:t>
      </w:r>
    </w:p>
    <w:p>
      <w:pPr>
        <w:spacing w:line="480" w:lineRule="auto"/>
        <w:ind w:firstLine="720"/>
      </w:pPr>
      <w:r>
        <w:rPr>
          <w:rFonts w:ascii="SimSun" w:cs="SimSun" w:eastAsia="SimSun" w:hAnsi="SimSun"/>
          <w:sz w:val="24"/>
          <w:szCs w:val="24"/>
        </w:rPr>
        <w:t xml:space="preserve">耶和华借旋风的自我启示（约伯记 38:1–42:6）将约伯的注意力从人类的申诉引向神圣的奥秘与敬拜。那声神圣的追问——“我立大地根基的时候，你在哪里呢？”（约伯记 38:4）——将人类苦难置于宇宙创造的浩瀚之中。纽瑟姆 (Newsom) 指出，这种重定向是通过创造异象的压倒性感官体验来实现的，而非借助道德或教义的指导。</w:t>
      </w:r>
      <w:r>
        <w:rPr>
          <w:rStyle w:val="FootnoteReference"/>
        </w:rPr>
        <w:footnoteReference w:id="2"/>
      </w:r>
      <w:r>
        <w:rPr>
          <w:rFonts w:ascii="SimSun" w:cs="SimSun" w:eastAsia="SimSun" w:hAnsi="SimSun"/>
          <w:sz w:val="24"/>
          <w:szCs w:val="24"/>
        </w:rPr>
        <w:t xml:space="preserve">约伯的认罪——“我所说的是我不明白的事”（约伯记 42:3）——显示出他在神圣知识面前所获得的知识论谦逊 (epistemic humility)。</w:t>
      </w:r>
    </w:p>
    <w:p>
      <w:pPr>
        <w:spacing w:line="480" w:lineRule="auto"/>
        <w:ind w:firstLine="720"/>
      </w:pPr>
      <w:r>
        <w:rPr>
          <w:rFonts w:ascii="SimSun" w:cs="SimSun" w:eastAsia="SimSun" w:hAnsi="SimSun"/>
          <w:sz w:val="24"/>
          <w:szCs w:val="24"/>
        </w:rPr>
        <w:t xml:space="preserve">约伯的存在历程揭示了悬而未决的苦难如何能将人塑造为道德成熟的主体。借着神圣回应，神将约伯的注意力引向超越性的奥秘与人类认知的局限，从而建立起一种不以解释而以转化视角为基础的神义论。哈贝尔 (Habel) 指出，神圣言词并非作为答案，而是作为惊叹的邀请而发挥作用——这是一种将追问者重新安置于无限宽广之实在中的修辞策略。</w:t>
      </w:r>
      <w:r>
        <w:rPr>
          <w:rStyle w:val="FootnoteReference"/>
        </w:rPr>
        <w:footnoteReference w:id="3"/>
      </w:r>
    </w:p>
    <w:p>
      <w:pPr>
        <w:spacing w:after="0" w:before="360" w:line="480" w:lineRule="auto"/>
      </w:pPr>
      <w:r>
        <w:rPr>
          <w:rFonts w:ascii="SimSun" w:cs="SimSun" w:eastAsia="SimSun" w:hAnsi="SimSun"/>
          <w:b/>
          <w:bCs/>
          <w:sz w:val="24"/>
          <w:szCs w:val="24"/>
        </w:rPr>
        <w:t xml:space="preserve">孟子的发展范式 (Mencius' Developmental Paradigm)</w:t>
      </w:r>
    </w:p>
    <w:p>
      <w:pPr>
        <w:spacing w:line="480" w:lineRule="auto"/>
        <w:ind w:firstLine="720"/>
      </w:pPr>
      <w:r>
        <w:rPr>
          <w:rFonts w:ascii="SimSun" w:cs="SimSun" w:eastAsia="SimSun" w:hAnsi="SimSun"/>
          <w:sz w:val="24"/>
          <w:szCs w:val="24"/>
        </w:rPr>
        <w:t xml:space="preserve">孟子在《告子下》中阐明，天有意识地将苦难作为刻意的教化过程，以培育道德卓越性。与《约伯记》将苦难呈现为导向神显经历之存在危机不同，孟子将逆境框架为一种有目的的教育——通过有条理的生命经历来发展美德。</w:t>
      </w:r>
    </w:p>
    <w:p>
      <w:pPr>
        <w:spacing w:line="480" w:lineRule="auto"/>
        <w:ind w:firstLine="720"/>
      </w:pPr>
      <w:r>
        <w:rPr>
          <w:rFonts w:ascii="SimSun" w:cs="SimSun" w:eastAsia="SimSun" w:hAnsi="SimSun"/>
          <w:sz w:val="24"/>
          <w:szCs w:val="24"/>
        </w:rPr>
        <w:t xml:space="preserve">孟子宣称：“天将降大任于是人也，必先苦其心志，劳其筋骨，饿其体肤，空乏其身，行拂乱其所为，所以动心忍性，曾益其所不能”（《孟子·告子下》6B15）。</w:t>
      </w:r>
      <w:r>
        <w:rPr>
          <w:rStyle w:val="FootnoteReference"/>
        </w:rPr>
        <w:footnoteReference w:id="4"/>
      </w:r>
      <w:r>
        <w:rPr>
          <w:rFonts w:ascii="SimSun" w:cs="SimSun" w:eastAsia="SimSun" w:hAnsi="SimSun"/>
          <w:sz w:val="24"/>
          <w:szCs w:val="24"/>
        </w:rPr>
        <w:t xml:space="preserve">这一过程涵盖三个相互关联的维度：心志的磨砺 (</w:t>
      </w:r>
      <w:r>
        <w:rPr>
          <w:rFonts w:ascii="SimSun" w:cs="SimSun" w:eastAsia="SimSun" w:hAnsi="SimSun"/>
          <w:i/>
          <w:iCs/>
          <w:sz w:val="24"/>
          <w:szCs w:val="24"/>
        </w:rPr>
        <w:t xml:space="preserve">kǔ qí xīn zhì</w:t>
      </w:r>
      <w:r>
        <w:rPr>
          <w:rFonts w:ascii="SimSun" w:cs="SimSun" w:eastAsia="SimSun" w:hAnsi="SimSun"/>
          <w:sz w:val="24"/>
          <w:szCs w:val="24"/>
        </w:rPr>
        <w:t xml:space="preserve">, 苦其心志)、筋骨的锤炼 (</w:t>
      </w:r>
      <w:r>
        <w:rPr>
          <w:rFonts w:ascii="SimSun" w:cs="SimSun" w:eastAsia="SimSun" w:hAnsi="SimSun"/>
          <w:i/>
          <w:iCs/>
          <w:sz w:val="24"/>
          <w:szCs w:val="24"/>
        </w:rPr>
        <w:t xml:space="preserve">láo qí jīn gǔ</w:t>
      </w:r>
      <w:r>
        <w:rPr>
          <w:rFonts w:ascii="SimSun" w:cs="SimSun" w:eastAsia="SimSun" w:hAnsi="SimSun"/>
          <w:sz w:val="24"/>
          <w:szCs w:val="24"/>
        </w:rPr>
        <w:t xml:space="preserve">, 劳其筋骨) 与能力的增益 (</w:t>
      </w:r>
      <w:r>
        <w:rPr>
          <w:rFonts w:ascii="SimSun" w:cs="SimSun" w:eastAsia="SimSun" w:hAnsi="SimSun"/>
          <w:i/>
          <w:iCs/>
          <w:sz w:val="24"/>
          <w:szCs w:val="24"/>
        </w:rPr>
        <w:t xml:space="preserve">zēng yì qí suǒ bù néng</w:t>
      </w:r>
      <w:r>
        <w:rPr>
          <w:rFonts w:ascii="SimSun" w:cs="SimSun" w:eastAsia="SimSun" w:hAnsi="SimSun"/>
          <w:sz w:val="24"/>
          <w:szCs w:val="24"/>
        </w:rPr>
        <w:t xml:space="preserve">, 增益不能)。</w:t>
      </w:r>
    </w:p>
    <w:p>
      <w:pPr>
        <w:spacing w:line="480" w:lineRule="auto"/>
        <w:ind w:firstLine="720"/>
      </w:pPr>
      <w:r>
        <w:rPr>
          <w:rFonts w:ascii="SimSun" w:cs="SimSun" w:eastAsia="SimSun" w:hAnsi="SimSun"/>
          <w:sz w:val="24"/>
          <w:szCs w:val="24"/>
        </w:rPr>
        <w:t xml:space="preserve">孟子的自我修养 (self-cultivation) 框架表明，个体通过天工 (</w:t>
      </w:r>
      <w:r>
        <w:rPr>
          <w:rFonts w:ascii="SimSun" w:cs="SimSun" w:eastAsia="SimSun" w:hAnsi="SimSun"/>
          <w:i/>
          <w:iCs/>
          <w:sz w:val="24"/>
          <w:szCs w:val="24"/>
        </w:rPr>
        <w:t xml:space="preserve">tian gong</w:t>
      </w:r>
      <w:r>
        <w:rPr>
          <w:rFonts w:ascii="SimSun" w:cs="SimSun" w:eastAsia="SimSun" w:hAnsi="SimSun"/>
          <w:sz w:val="24"/>
          <w:szCs w:val="24"/>
        </w:rPr>
        <w:t xml:space="preserve">, Heaven's workmanship) 的苦难历练，得以实现自身本性与宇宙间的道德和谐。艾文贺 (Ivanhoe) 指出，孟子所构想的是一种将认知能力与情感回应、意志力量及精神维度融为一体的整合性心理——逆境正是将这些维度整合为连贯道德自我的压力。</w:t>
      </w:r>
      <w:r>
        <w:rPr>
          <w:rStyle w:val="FootnoteReference"/>
        </w:rPr>
        <w:footnoteReference w:id="5"/>
      </w:r>
      <w:r>
        <w:rPr>
          <w:rFonts w:ascii="SimSun" w:cs="SimSun" w:eastAsia="SimSun" w:hAnsi="SimSun"/>
          <w:sz w:val="24"/>
          <w:szCs w:val="24"/>
        </w:rPr>
        <w:t xml:space="preserve">与约伯面对无解的神圣谜题不同，孟子将苦难呈现为使个体发展为准备好承担大任 (</w:t>
      </w:r>
      <w:r>
        <w:rPr>
          <w:rFonts w:ascii="SimSun" w:cs="SimSun" w:eastAsia="SimSun" w:hAnsi="SimSun"/>
          <w:i/>
          <w:iCs/>
          <w:sz w:val="24"/>
          <w:szCs w:val="24"/>
        </w:rPr>
        <w:t xml:space="preserve">dà rèn</w:t>
      </w:r>
      <w:r>
        <w:rPr>
          <w:rFonts w:ascii="SimSun" w:cs="SimSun" w:eastAsia="SimSun" w:hAnsi="SimSun"/>
          <w:sz w:val="24"/>
          <w:szCs w:val="24"/>
        </w:rPr>
        <w:t xml:space="preserve">, 大任, great responsibility) 的有德领导者的途径。这一教化框架预设人的本性具有固有的道德能力——孟子所称美德的“端” (</w:t>
      </w:r>
      <w:r>
        <w:rPr>
          <w:rFonts w:ascii="SimSun" w:cs="SimSun" w:eastAsia="SimSun" w:hAnsi="SimSun"/>
          <w:i/>
          <w:iCs/>
          <w:sz w:val="24"/>
          <w:szCs w:val="24"/>
        </w:rPr>
        <w:t xml:space="preserve">duān</w:t>
      </w:r>
      <w:r>
        <w:rPr>
          <w:rFonts w:ascii="SimSun" w:cs="SimSun" w:eastAsia="SimSun" w:hAnsi="SimSun"/>
          <w:sz w:val="24"/>
          <w:szCs w:val="24"/>
        </w:rPr>
        <w:t xml:space="preserve">, 端, moral sprouts)——这种能力有待通过逆境来精炼，而非由外部植入。</w:t>
      </w:r>
    </w:p>
    <w:p>
      <w:pPr>
        <w:spacing w:after="0" w:before="360" w:line="480" w:lineRule="auto"/>
      </w:pPr>
      <w:r>
        <w:rPr>
          <w:rFonts w:ascii="SimSun" w:cs="SimSun" w:eastAsia="SimSun" w:hAnsi="SimSun"/>
          <w:b/>
          <w:bCs/>
          <w:sz w:val="24"/>
          <w:szCs w:val="24"/>
        </w:rPr>
        <w:t xml:space="preserve">共同之处 (Convergences)</w:t>
      </w:r>
    </w:p>
    <w:p>
      <w:pPr>
        <w:spacing w:line="480" w:lineRule="auto"/>
        <w:ind w:firstLine="720"/>
      </w:pPr>
      <w:r>
        <w:rPr>
          <w:rFonts w:ascii="SimSun" w:cs="SimSun" w:eastAsia="SimSun" w:hAnsi="SimSun"/>
          <w:sz w:val="24"/>
          <w:szCs w:val="24"/>
        </w:rPr>
        <w:t xml:space="preserve">尽管文化语境迥异，约伯与孟子仍享有若干核心共识。其一，两者均对简单化的道德因果律提出挑战。约伯拒绝接受朋友们关于苦难必然源于罪的假设；孟子则反对为获取即时回报而践行美德，主张君子在任何物质处境中都应坚守正义。</w:t>
      </w:r>
      <w:r>
        <w:rPr>
          <w:rStyle w:val="FootnoteReference"/>
        </w:rPr>
        <w:footnoteReference w:id="6"/>
      </w:r>
    </w:p>
    <w:p>
      <w:pPr>
        <w:spacing w:line="480" w:lineRule="auto"/>
        <w:ind w:firstLine="720"/>
      </w:pPr>
      <w:r>
        <w:rPr>
          <w:rFonts w:ascii="SimSun" w:cs="SimSun" w:eastAsia="SimSun" w:hAnsi="SimSun"/>
          <w:sz w:val="24"/>
          <w:szCs w:val="24"/>
        </w:rPr>
        <w:t xml:space="preserve">其二，两个传统都将人类道德发展置于宇宙结构之中。约伯的神显经历确立了人类伦理存在于神圣创造与主权的权威之下（约伯记 38–41 章）。孟子则将人的美德与天的旨意相关联，宣称：“尽其心者，知其性也；知其性，则知天矣”（《孟子·尽心上》7A1）。</w:t>
      </w:r>
      <w:r>
        <w:rPr>
          <w:rStyle w:val="FootnoteReference"/>
        </w:rPr>
        <w:footnoteReference w:id="7"/>
      </w:r>
      <w:r>
        <w:rPr>
          <w:rFonts w:ascii="SimSun" w:cs="SimSun" w:eastAsia="SimSun" w:hAnsi="SimSun"/>
          <w:sz w:val="24"/>
          <w:szCs w:val="24"/>
        </w:rPr>
        <w:t xml:space="preserve">两部文本均肯定真正的美德能够超越交易性的成本收益分析，在逆境中依然茂盛成长。这一共同强调抗制了可称为“繁荣神学” (prosperity theology) 的倒向——即主要为获取物质祝福而寻求公义。</w:t>
      </w:r>
    </w:p>
    <w:p>
      <w:pPr>
        <w:spacing w:after="0" w:before="360" w:line="480" w:lineRule="auto"/>
      </w:pPr>
      <w:r>
        <w:rPr>
          <w:rFonts w:ascii="SimSun" w:cs="SimSun" w:eastAsia="SimSun" w:hAnsi="SimSun"/>
          <w:b/>
          <w:bCs/>
          <w:sz w:val="24"/>
          <w:szCs w:val="24"/>
        </w:rPr>
        <w:t xml:space="preserve">根本分歧 (Divergences)</w:t>
      </w:r>
    </w:p>
    <w:p>
      <w:pPr>
        <w:spacing w:line="480" w:lineRule="auto"/>
        <w:ind w:firstLine="720"/>
      </w:pPr>
      <w:r>
        <w:rPr>
          <w:rFonts w:ascii="SimSun" w:cs="SimSun" w:eastAsia="SimSun" w:hAnsi="SimSun"/>
          <w:sz w:val="24"/>
          <w:szCs w:val="24"/>
        </w:rPr>
        <w:t xml:space="preserve">两部文本的进路存在根本性的差异。《约伯记》中神的角色呈现为积极的超越性，借旋风传递信息，具有压倒性的修辞力量。孟子的天则更为模糊，既呈现为超越性的道德秩序，又呈现为可经由内省加以体察的内在原则。这些不可通约 (incommensurable) 的基础并不使比较失效；恰恰相反，它们精确地厘清了每个传统能够且无法给予对方的东西。约伯的框架需要一位可以法律隐喻加以申诉的位格性神灵，而孟子的框架则通过自然过程与道德结构运作——这一比较揭示了当关系性框架被移除后，神义论呈现为何种面貌。</w:t>
      </w:r>
    </w:p>
    <w:p>
      <w:pPr>
        <w:spacing w:line="480" w:lineRule="auto"/>
        <w:ind w:firstLine="720"/>
      </w:pPr>
      <w:r>
        <w:rPr>
          <w:rFonts w:ascii="SimSun" w:cs="SimSun" w:eastAsia="SimSun" w:hAnsi="SimSun"/>
          <w:sz w:val="24"/>
          <w:szCs w:val="24"/>
        </w:rPr>
        <w:t xml:space="preserve">约伯在神圣奥秘的压倒性感官体验中与其相遇，而孟子则将道德发展呈现为一个认识并实现自身原初道德本性的智识与意志过程。这一差异反映了不同的知识论 (epistemological) 取向：约伯强调超越人类能力的启示，孟子则强调对固有道德知识的修养。</w:t>
      </w:r>
    </w:p>
    <w:p>
      <w:pPr>
        <w:spacing w:line="480" w:lineRule="auto"/>
        <w:ind w:firstLine="720"/>
      </w:pPr>
      <w:r>
        <w:rPr>
          <w:rFonts w:ascii="SimSun" w:cs="SimSun" w:eastAsia="SimSun" w:hAnsi="SimSun"/>
          <w:sz w:val="24"/>
          <w:szCs w:val="24"/>
        </w:rPr>
        <w:t xml:space="preserve">约伯的叙事在神学谦逊与知识论转化中达到高潮（约伯记 42:3–6），使苦难的终极目的仍悬而未决。孟子则相反，明确地将苦难框架为对领导职责 (</w:t>
      </w:r>
      <w:r>
        <w:rPr>
          <w:rFonts w:ascii="SimSun" w:cs="SimSun" w:eastAsia="SimSun" w:hAnsi="SimSun"/>
          <w:i/>
          <w:iCs/>
          <w:sz w:val="24"/>
          <w:szCs w:val="24"/>
        </w:rPr>
        <w:t xml:space="preserve">dà rèn</w:t>
      </w:r>
      <w:r>
        <w:rPr>
          <w:rFonts w:ascii="SimSun" w:cs="SimSun" w:eastAsia="SimSun" w:hAnsi="SimSun"/>
          <w:sz w:val="24"/>
          <w:szCs w:val="24"/>
        </w:rPr>
        <w:t xml:space="preserve">) 的教化性预备。约伯的苦难起初似乎毫无目的，其意义仅在事后通过神圣相遇方得以揭示；孟子则将苦难呈现为透明的目的性——天为品格塑造所设的课程。</w:t>
      </w:r>
    </w:p>
    <w:p>
      <w:pPr>
        <w:spacing w:line="480" w:lineRule="auto"/>
        <w:ind w:firstLine="720"/>
      </w:pPr>
      <w:r>
        <w:rPr>
          <w:rFonts w:ascii="SimSun" w:cs="SimSun" w:eastAsia="SimSun" w:hAnsi="SimSun"/>
          <w:sz w:val="24"/>
          <w:szCs w:val="24"/>
        </w:rPr>
        <w:t xml:space="preserve">正如肖 (Seow) 所观察到的：“与那些强调传统与社群双重权威的朋友相比，约伯更注重个人经历。”</w:t>
      </w:r>
      <w:r>
        <w:rPr>
          <w:rStyle w:val="FootnoteReference"/>
        </w:rPr>
        <w:footnoteReference w:id="8"/>
      </w:r>
      <w:r>
        <w:rPr>
          <w:rFonts w:ascii="SimSun" w:cs="SimSun" w:eastAsia="SimSun" w:hAnsi="SimSun"/>
          <w:sz w:val="24"/>
          <w:szCs w:val="24"/>
        </w:rPr>
        <w:t xml:space="preserve">这种个体化的、最终带有神秘性的启示，与孟子那更具公共可辨性的道德宇宙形成鲜明对照——在那里，天的运作可以被认识并有意识地参与其中。</w:t>
      </w:r>
    </w:p>
    <w:p>
      <w:pPr>
        <w:spacing w:after="0" w:before="360" w:line="480" w:lineRule="auto"/>
      </w:pPr>
      <w:r>
        <w:rPr>
          <w:rFonts w:ascii="SimSun" w:cs="SimSun" w:eastAsia="SimSun" w:hAnsi="SimSun"/>
          <w:b/>
          <w:bCs/>
          <w:sz w:val="24"/>
          <w:szCs w:val="24"/>
        </w:rPr>
        <w:t xml:space="preserve">对神义论的贡献 (Contributions to Theodicy)</w:t>
      </w:r>
    </w:p>
    <w:p>
      <w:pPr>
        <w:spacing w:line="480" w:lineRule="auto"/>
        <w:ind w:firstLine="720"/>
      </w:pPr>
      <w:r>
        <w:rPr>
          <w:rFonts w:ascii="SimSun" w:cs="SimSun" w:eastAsia="SimSun" w:hAnsi="SimSun"/>
          <w:sz w:val="24"/>
          <w:szCs w:val="24"/>
        </w:rPr>
        <w:t xml:space="preserve">两部文本提供了超越西方框架的神义论进路。约伯激进的追问制造了一场神学危机，拆解了传统的报应神学。天庭序幕展示了神允许对手考验约伯（约伯记 1:6–12），表明苦难在超越人类解释能力的宇宙动态中运作。神对朋友们的谴责（约伯记 42:7–8）证实苦难模式无法服从于严格的报应逻辑。</w:t>
      </w:r>
    </w:p>
    <w:p>
      <w:pPr>
        <w:spacing w:line="480" w:lineRule="auto"/>
        <w:ind w:firstLine="720"/>
      </w:pPr>
      <w:r>
        <w:rPr>
          <w:rFonts w:ascii="SimSun" w:cs="SimSun" w:eastAsia="SimSun" w:hAnsi="SimSun"/>
          <w:sz w:val="24"/>
          <w:szCs w:val="24"/>
        </w:rPr>
        <w:t xml:space="preserve">神圣言词（约伯记 38–41 章）通过将人类苦难置于创造的浩瀚之中——包括难以驯服的造物比西摩 (Behemoth) 与利维坦 (Leviathan)——来重构神义论。神的回应所要求的是面对奥秘的敬畏，而非解释性的终结，揭示神义论所需要的是知识论谦逊，而非系统性的解释。</w:t>
      </w:r>
    </w:p>
    <w:p>
      <w:pPr>
        <w:spacing w:line="480" w:lineRule="auto"/>
        <w:ind w:firstLine="720"/>
      </w:pPr>
      <w:r>
        <w:rPr>
          <w:rFonts w:ascii="SimSun" w:cs="SimSun" w:eastAsia="SimSun" w:hAnsi="SimSun"/>
          <w:sz w:val="24"/>
          <w:szCs w:val="24"/>
        </w:rPr>
        <w:t xml:space="preserve">孟子提供了约伯叙事所缺乏的内容：将苦难作为教育过程的明确目的论 (teleology)。天的塑造通过磨砺品格的逆境，培育出为重大职责做好准备的领导者。这一配对抗制了西方神义论倒向于严格报应逻辑（以约伯的朋友为代表）或虚无主义意义失落这两种极端。约伯与孟子的对话指向了第三条道路：在宇宙秩序框架内将苦难视为接受道德转化之邀请——结合了约伯对奥秘的坚持与孟子对有目的塑造的信心。</w:t>
      </w:r>
    </w:p>
    <w:p>
      <w:pPr>
        <w:spacing w:line="480" w:lineRule="auto"/>
        <w:ind w:firstLine="720"/>
      </w:pPr>
      <w:r>
        <w:rPr>
          <w:rFonts w:ascii="SimSun" w:cs="SimSun" w:eastAsia="SimSun" w:hAnsi="SimSun"/>
          <w:sz w:val="24"/>
          <w:szCs w:val="24"/>
        </w:rPr>
        <w:t xml:space="preserve">这一比较进路也使苏基尔达 (Sugirtharajah) 所称的“去殖民化释经” (decolonized exegesis) 成为可能——这是一种从非西方智慧传统汲取养分、而非局限于希腊罗马哲学框架的圣经诠释。</w:t>
      </w:r>
      <w:r>
        <w:rPr>
          <w:rStyle w:val="FootnoteReference"/>
        </w:rPr>
        <w:footnoteReference w:id="9"/>
      </w:r>
      <w:r>
        <w:rPr>
          <w:rFonts w:ascii="SimSun" w:cs="SimSun" w:eastAsia="SimSun" w:hAnsi="SimSun"/>
          <w:sz w:val="24"/>
          <w:szCs w:val="24"/>
        </w:rPr>
        <w:t xml:space="preserve">将儒家思想纳入跨文本阅读，能够揭示长期被希腊化框架所遮蔽的约伯神义论面向。约伯的异议之声抗制了将一切苦难合理化的决定论神义论，而孟子的结构性框架则通过肯定逆境的成长潜力来防止绝望。二者共同将神义论建构为辩证性张力，而非系统性解决。</w:t>
      </w:r>
    </w:p>
    <w:p>
      <w:pPr>
        <w:spacing w:after="0" w:before="360" w:line="480" w:lineRule="auto"/>
      </w:pPr>
      <w:r>
        <w:rPr>
          <w:rFonts w:ascii="SimSun" w:cs="SimSun" w:eastAsia="SimSun" w:hAnsi="SimSun"/>
          <w:b/>
          <w:bCs/>
          <w:sz w:val="24"/>
          <w:szCs w:val="24"/>
        </w:rPr>
        <w:t xml:space="preserve">结论 (Conclusion)</w:t>
      </w:r>
    </w:p>
    <w:p>
      <w:pPr>
        <w:spacing w:line="480" w:lineRule="auto"/>
        <w:ind w:firstLine="720"/>
      </w:pPr>
      <w:r>
        <w:rPr>
          <w:rFonts w:ascii="SimSun" w:cs="SimSun" w:eastAsia="SimSun" w:hAnsi="SimSun"/>
          <w:sz w:val="24"/>
          <w:szCs w:val="24"/>
        </w:rPr>
        <w:t xml:space="preserve">《约伯记》与《孟子·告子下》在神义论与道德成长问题上呈现出一种辩证性的、富有成效的对照。约伯在神圣奥秘面前的否定性相遇 (</w:t>
      </w:r>
      <w:r>
        <w:rPr>
          <w:rFonts w:ascii="SimSun" w:cs="SimSun" w:eastAsia="SimSun" w:hAnsi="SimSun"/>
          <w:i/>
          <w:iCs/>
          <w:sz w:val="24"/>
          <w:szCs w:val="24"/>
        </w:rPr>
        <w:t xml:space="preserve">apophatic</w:t>
      </w:r>
      <w:r>
        <w:rPr>
          <w:rFonts w:ascii="SimSun" w:cs="SimSun" w:eastAsia="SimSun" w:hAnsi="SimSun"/>
          <w:sz w:val="24"/>
          <w:szCs w:val="24"/>
        </w:rPr>
        <w:t xml:space="preserve"> encounter)，与孟子对苦难发展目的的教化性信念形成对比。这种差异性的强调产生了富有成效的张力：约伯的抗议阻止了那些将苦难浅化的廉价解释，而孟子的框架则通过肯定逆境的成长能力来防止虚无主义的绝望。</w:t>
      </w:r>
    </w:p>
    <w:p>
      <w:pPr>
        <w:spacing w:line="480" w:lineRule="auto"/>
        <w:ind w:firstLine="720"/>
      </w:pPr>
      <w:r>
        <w:rPr>
          <w:rFonts w:ascii="SimSun" w:cs="SimSun" w:eastAsia="SimSun" w:hAnsi="SimSun"/>
          <w:sz w:val="24"/>
          <w:szCs w:val="24"/>
        </w:rPr>
        <w:t xml:space="preserve">跨文本分析表明，当代圣经研究从与非西方传统的对话中大获裨益，这种对话提供了超越希腊罗马哲学框架的诠释资源。这一比较方法论不仅丰富了圣经研究，也丰富了东亚哲学，揭示了不同传统如何能够就苦难、美德与神圣目的等基本人类问题相互阐明。约伯与孟子的配对表明，神义论无需在神秘性的超越与透明性的目的论之间作出非此即彼的选择——两种视角共同更充分地反映了人类苦难经历的复杂性及其转化为道德成长的潜力。</w:t>
      </w:r>
    </w:p>
    <w:p>
      <w:pPr>
        <w:spacing w:after="0" w:before="480" w:line="480" w:lineRule="auto"/>
      </w:pPr>
      <w:r>
        <w:rPr>
          <w:rFonts w:ascii="SimSun" w:cs="SimSun" w:eastAsia="SimSun" w:hAnsi="SimSun"/>
          <w:b/>
          <w:bCs/>
          <w:sz w:val="24"/>
          <w:szCs w:val="24"/>
        </w:rPr>
        <w:t xml:space="preserve">参考文献 (Bibliography)</w:t>
      </w:r>
    </w:p>
    <w:p>
      <w:pPr>
        <w:spacing w:line="480" w:lineRule="auto"/>
        <w:ind w:left="720" w:hanging="720"/>
      </w:pPr>
      <w:r>
        <w:rPr>
          <w:rFonts w:ascii="Times New Roman" w:cs="Times New Roman" w:eastAsia="Times New Roman" w:hAnsi="Times New Roman"/>
          <w:sz w:val="24"/>
          <w:szCs w:val="24"/>
        </w:rPr>
        <w:t xml:space="preserve">Chan, Wing-tsit. </w:t>
      </w:r>
      <w:r>
        <w:rPr>
          <w:rFonts w:ascii="Times New Roman" w:cs="Times New Roman" w:eastAsia="Times New Roman" w:hAnsi="Times New Roman"/>
          <w:i/>
          <w:iCs/>
          <w:sz w:val="24"/>
          <w:szCs w:val="24"/>
        </w:rPr>
        <w:t xml:space="preserve">A Source Book in Chinese Philosophy</w:t>
      </w:r>
      <w:r>
        <w:rPr>
          <w:rFonts w:ascii="Times New Roman" w:cs="Times New Roman" w:eastAsia="Times New Roman" w:hAnsi="Times New Roman"/>
          <w:sz w:val="24"/>
          <w:szCs w:val="24"/>
        </w:rPr>
        <w:t xml:space="preserve">. Princeton: Princeton University Press, 1963.</w:t>
      </w:r>
    </w:p>
    <w:p>
      <w:pPr>
        <w:spacing w:line="480" w:lineRule="auto"/>
        <w:ind w:left="720" w:hanging="720"/>
      </w:pPr>
      <w:r>
        <w:rPr>
          <w:rFonts w:ascii="Times New Roman" w:cs="Times New Roman" w:eastAsia="Times New Roman" w:hAnsi="Times New Roman"/>
          <w:sz w:val="24"/>
          <w:szCs w:val="24"/>
        </w:rPr>
        <w:t xml:space="preserve">Clines, David J. A. </w:t>
      </w:r>
      <w:r>
        <w:rPr>
          <w:rFonts w:ascii="Times New Roman" w:cs="Times New Roman" w:eastAsia="Times New Roman" w:hAnsi="Times New Roman"/>
          <w:i/>
          <w:iCs/>
          <w:sz w:val="24"/>
          <w:szCs w:val="24"/>
        </w:rPr>
        <w:t xml:space="preserve">Job 38–42</w:t>
      </w:r>
      <w:r>
        <w:rPr>
          <w:rFonts w:ascii="Times New Roman" w:cs="Times New Roman" w:eastAsia="Times New Roman" w:hAnsi="Times New Roman"/>
          <w:sz w:val="24"/>
          <w:szCs w:val="24"/>
        </w:rPr>
        <w:t xml:space="preserve">. Word Biblical Commentary 18B. Nashville: Thomas Nelson, 2011.</w:t>
      </w:r>
    </w:p>
    <w:p>
      <w:pPr>
        <w:spacing w:line="480" w:lineRule="auto"/>
        <w:ind w:left="720" w:hanging="720"/>
      </w:pPr>
      <w:r>
        <w:rPr>
          <w:rFonts w:ascii="Times New Roman" w:cs="Times New Roman" w:eastAsia="Times New Roman" w:hAnsi="Times New Roman"/>
          <w:sz w:val="24"/>
          <w:szCs w:val="24"/>
        </w:rPr>
        <w:t xml:space="preserve">Habel, Norman C. </w:t>
      </w:r>
      <w:r>
        <w:rPr>
          <w:rFonts w:ascii="Times New Roman" w:cs="Times New Roman" w:eastAsia="Times New Roman" w:hAnsi="Times New Roman"/>
          <w:i/>
          <w:iCs/>
          <w:sz w:val="24"/>
          <w:szCs w:val="24"/>
        </w:rPr>
        <w:t xml:space="preserve">The Book of Job: A Commentary</w:t>
      </w:r>
      <w:r>
        <w:rPr>
          <w:rFonts w:ascii="Times New Roman" w:cs="Times New Roman" w:eastAsia="Times New Roman" w:hAnsi="Times New Roman"/>
          <w:sz w:val="24"/>
          <w:szCs w:val="24"/>
        </w:rPr>
        <w:t xml:space="preserve">. Old Testament Library. Philadelphia: Westminster, 1985.</w:t>
      </w:r>
    </w:p>
    <w:p>
      <w:pPr>
        <w:spacing w:line="480" w:lineRule="auto"/>
        <w:ind w:left="720" w:hanging="720"/>
      </w:pPr>
      <w:r>
        <w:rPr>
          <w:rFonts w:ascii="Times New Roman" w:cs="Times New Roman" w:eastAsia="Times New Roman" w:hAnsi="Times New Roman"/>
          <w:sz w:val="24"/>
          <w:szCs w:val="24"/>
        </w:rPr>
        <w:t xml:space="preserve">Ivanhoe, Philip J. </w:t>
      </w:r>
      <w:r>
        <w:rPr>
          <w:rFonts w:ascii="Times New Roman" w:cs="Times New Roman" w:eastAsia="Times New Roman" w:hAnsi="Times New Roman"/>
          <w:i/>
          <w:iCs/>
          <w:sz w:val="24"/>
          <w:szCs w:val="24"/>
        </w:rPr>
        <w:t xml:space="preserve">Ethics in the Confucian Tradition: The Thought of Mengzi and Wang Yangming</w:t>
      </w:r>
      <w:r>
        <w:rPr>
          <w:rFonts w:ascii="Times New Roman" w:cs="Times New Roman" w:eastAsia="Times New Roman" w:hAnsi="Times New Roman"/>
          <w:sz w:val="24"/>
          <w:szCs w:val="24"/>
        </w:rPr>
        <w:t xml:space="preserve">. 2nd ed. Indianapolis: Hackett, 2002.</w:t>
      </w:r>
    </w:p>
    <w:p>
      <w:pPr>
        <w:spacing w:line="480" w:lineRule="auto"/>
        <w:ind w:left="720" w:hanging="720"/>
      </w:pPr>
      <w:r>
        <w:rPr>
          <w:rFonts w:ascii="Times New Roman" w:cs="Times New Roman" w:eastAsia="Times New Roman" w:hAnsi="Times New Roman"/>
          <w:sz w:val="24"/>
          <w:szCs w:val="24"/>
        </w:rPr>
        <w:t xml:space="preserve">Lee, Archie C. C. “Cross-Textual Hermeneutics and Identity in Multi-Scriptural Asia.” In </w:t>
      </w:r>
      <w:r>
        <w:rPr>
          <w:rFonts w:ascii="Times New Roman" w:cs="Times New Roman" w:eastAsia="Times New Roman" w:hAnsi="Times New Roman"/>
          <w:i/>
          <w:iCs/>
          <w:sz w:val="24"/>
          <w:szCs w:val="24"/>
        </w:rPr>
        <w:t xml:space="preserve">Christian Theology in Asia</w:t>
      </w:r>
      <w:r>
        <w:rPr>
          <w:rFonts w:ascii="Times New Roman" w:cs="Times New Roman" w:eastAsia="Times New Roman" w:hAnsi="Times New Roman"/>
          <w:sz w:val="24"/>
          <w:szCs w:val="24"/>
        </w:rPr>
        <w:t xml:space="preserve">, edited by Sebastian C. H. Kim, 179–204. Cambridge: Cambridge University Press, 2008.</w:t>
      </w:r>
    </w:p>
    <w:p>
      <w:pPr>
        <w:spacing w:line="480" w:lineRule="auto"/>
        <w:ind w:left="720" w:hanging="720"/>
      </w:pPr>
      <w:r>
        <w:rPr>
          <w:rFonts w:ascii="Times New Roman" w:cs="Times New Roman" w:eastAsia="Times New Roman" w:hAnsi="Times New Roman"/>
          <w:sz w:val="24"/>
          <w:szCs w:val="24"/>
        </w:rPr>
        <w:t xml:space="preserve">Newsom, Carol A. </w:t>
      </w:r>
      <w:r>
        <w:rPr>
          <w:rFonts w:ascii="Times New Roman" w:cs="Times New Roman" w:eastAsia="Times New Roman" w:hAnsi="Times New Roman"/>
          <w:i/>
          <w:iCs/>
          <w:sz w:val="24"/>
          <w:szCs w:val="24"/>
        </w:rPr>
        <w:t xml:space="preserve">The Book of Job: A Contest of Moral Imaginations</w:t>
      </w:r>
      <w:r>
        <w:rPr>
          <w:rFonts w:ascii="Times New Roman" w:cs="Times New Roman" w:eastAsia="Times New Roman" w:hAnsi="Times New Roman"/>
          <w:sz w:val="24"/>
          <w:szCs w:val="24"/>
        </w:rPr>
        <w:t xml:space="preserve">. New York: Oxford University Press, 2003.</w:t>
      </w:r>
    </w:p>
    <w:p>
      <w:pPr>
        <w:spacing w:line="480" w:lineRule="auto"/>
        <w:ind w:left="720" w:hanging="720"/>
      </w:pPr>
      <w:r>
        <w:rPr>
          <w:rFonts w:ascii="Times New Roman" w:cs="Times New Roman" w:eastAsia="Times New Roman" w:hAnsi="Times New Roman"/>
          <w:sz w:val="24"/>
          <w:szCs w:val="24"/>
        </w:rPr>
        <w:t xml:space="preserve">Seow, Choon-Leong. </w:t>
      </w:r>
      <w:r>
        <w:rPr>
          <w:rFonts w:ascii="Times New Roman" w:cs="Times New Roman" w:eastAsia="Times New Roman" w:hAnsi="Times New Roman"/>
          <w:i/>
          <w:iCs/>
          <w:sz w:val="24"/>
          <w:szCs w:val="24"/>
        </w:rPr>
        <w:t xml:space="preserve">Job 1–21: Interpretation and Commentary</w:t>
      </w:r>
      <w:r>
        <w:rPr>
          <w:rFonts w:ascii="Times New Roman" w:cs="Times New Roman" w:eastAsia="Times New Roman" w:hAnsi="Times New Roman"/>
          <w:sz w:val="24"/>
          <w:szCs w:val="24"/>
        </w:rPr>
        <w:t xml:space="preserve">. Illuminations. Grand Rapids: Eerdmans, 2013.</w:t>
      </w:r>
    </w:p>
    <w:p>
      <w:pPr>
        <w:spacing w:line="480" w:lineRule="auto"/>
        <w:ind w:left="720" w:hanging="720"/>
      </w:pPr>
      <w:r>
        <w:rPr>
          <w:rFonts w:ascii="Times New Roman" w:cs="Times New Roman" w:eastAsia="Times New Roman" w:hAnsi="Times New Roman"/>
          <w:sz w:val="24"/>
          <w:szCs w:val="24"/>
        </w:rPr>
        <w:t xml:space="preserve">Sugirtharajah, R. S. </w:t>
      </w:r>
      <w:r>
        <w:rPr>
          <w:rFonts w:ascii="Times New Roman" w:cs="Times New Roman" w:eastAsia="Times New Roman" w:hAnsi="Times New Roman"/>
          <w:i/>
          <w:iCs/>
          <w:sz w:val="24"/>
          <w:szCs w:val="24"/>
        </w:rPr>
        <w:t xml:space="preserve">The Bible and the Third World: Precolonial, Colonial, and Postcolonial Encounters</w:t>
      </w:r>
      <w:r>
        <w:rPr>
          <w:rFonts w:ascii="Times New Roman" w:cs="Times New Roman" w:eastAsia="Times New Roman" w:hAnsi="Times New Roman"/>
          <w:sz w:val="24"/>
          <w:szCs w:val="24"/>
        </w:rPr>
        <w:t xml:space="preserve">. Cambridge: Cambridge University Press, 2001.</w:t>
      </w:r>
    </w:p>
    <w:p>
      <w:pPr>
        <w:spacing w:line="480" w:lineRule="auto"/>
        <w:ind w:left="720" w:hanging="720"/>
      </w:pPr>
      <w:r>
        <w:rPr>
          <w:rFonts w:ascii="Times New Roman" w:cs="Times New Roman" w:eastAsia="Times New Roman" w:hAnsi="Times New Roman"/>
          <w:sz w:val="24"/>
          <w:szCs w:val="24"/>
        </w:rPr>
        <w:t xml:space="preserve">Van Norden, Bryan W., trans. </w:t>
      </w:r>
      <w:r>
        <w:rPr>
          <w:rFonts w:ascii="Times New Roman" w:cs="Times New Roman" w:eastAsia="Times New Roman" w:hAnsi="Times New Roman"/>
          <w:i/>
          <w:iCs/>
          <w:sz w:val="24"/>
          <w:szCs w:val="24"/>
        </w:rPr>
        <w:t xml:space="preserve">Mengzi: With Selections from Traditional Commentaries</w:t>
      </w:r>
      <w:r>
        <w:rPr>
          <w:rFonts w:ascii="Times New Roman" w:cs="Times New Roman" w:eastAsia="Times New Roman" w:hAnsi="Times New Roman"/>
          <w:sz w:val="24"/>
          <w:szCs w:val="24"/>
        </w:rPr>
        <w:t xml:space="preserve">. Indianapolis: Hackett, 2008.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ind w:left="360" w:hanging="360"/>
      </w:pPr>
      <w:r>
        <w:rPr>
          <w:rStyle w:val="FootnoteReference"/>
        </w:rPr>
        <w:footnoteRef/>
      </w:r>
      <w:r>
        <w:rPr>
          <w:rFonts w:ascii="Times New Roman" w:cs="Times New Roman" w:eastAsia="Times New Roman" w:hAnsi="Times New Roman"/>
          <w:sz w:val="20"/>
          <w:szCs w:val="20"/>
        </w:rPr>
        <w:t xml:space="preserve">Archie C. C. Lee, “Cross-Textual Hermeneutics and Identity in Multi-Scriptural Asia,” in </w:t>
      </w:r>
      <w:r>
        <w:rPr>
          <w:rFonts w:ascii="Times New Roman" w:cs="Times New Roman" w:eastAsia="Times New Roman" w:hAnsi="Times New Roman"/>
          <w:i/>
          <w:iCs/>
          <w:sz w:val="20"/>
          <w:szCs w:val="20"/>
        </w:rPr>
        <w:t xml:space="preserve">Christian Theology in Asia</w:t>
      </w:r>
      <w:r>
        <w:rPr>
          <w:rFonts w:ascii="Times New Roman" w:cs="Times New Roman" w:eastAsia="Times New Roman" w:hAnsi="Times New Roman"/>
          <w:sz w:val="20"/>
          <w:szCs w:val="20"/>
        </w:rPr>
        <w:t xml:space="preserve">, ed. Sebastian C. H. Kim (Cambridge: Cambridge University Press, 2008), 179–204.</w:t>
      </w:r>
    </w:p>
  </w:footnote>
  <w:footnote w:id="2">
    <w:p>
      <w:pPr>
        <w:spacing w:line="240"/>
        <w:ind w:left="360" w:hanging="360"/>
      </w:pPr>
      <w:r>
        <w:rPr>
          <w:rStyle w:val="FootnoteReference"/>
        </w:rPr>
        <w:footnoteRef/>
      </w:r>
      <w:r>
        <w:rPr>
          <w:rFonts w:ascii="Times New Roman" w:cs="Times New Roman" w:eastAsia="Times New Roman" w:hAnsi="Times New Roman"/>
          <w:sz w:val="20"/>
          <w:szCs w:val="20"/>
        </w:rPr>
        <w:t xml:space="preserve">Carol A. Newsom, </w:t>
      </w:r>
      <w:r>
        <w:rPr>
          <w:rFonts w:ascii="Times New Roman" w:cs="Times New Roman" w:eastAsia="Times New Roman" w:hAnsi="Times New Roman"/>
          <w:i/>
          <w:iCs/>
          <w:sz w:val="20"/>
          <w:szCs w:val="20"/>
        </w:rPr>
        <w:t xml:space="preserve">The Book of Job: A Contest of Moral Imaginations</w:t>
      </w:r>
      <w:r>
        <w:rPr>
          <w:rFonts w:ascii="Times New Roman" w:cs="Times New Roman" w:eastAsia="Times New Roman" w:hAnsi="Times New Roman"/>
          <w:sz w:val="20"/>
          <w:szCs w:val="20"/>
        </w:rPr>
        <w:t xml:space="preserve"> (New York: Oxford University Press, 2003), 236–37.</w:t>
      </w:r>
    </w:p>
  </w:footnote>
  <w:footnote w:id="3">
    <w:p>
      <w:pPr>
        <w:spacing w:line="240"/>
        <w:ind w:left="360" w:hanging="360"/>
      </w:pPr>
      <w:r>
        <w:rPr>
          <w:rStyle w:val="FootnoteReference"/>
        </w:rPr>
        <w:footnoteRef/>
      </w:r>
      <w:r>
        <w:rPr>
          <w:rFonts w:ascii="Times New Roman" w:cs="Times New Roman" w:eastAsia="Times New Roman" w:hAnsi="Times New Roman"/>
          <w:sz w:val="20"/>
          <w:szCs w:val="20"/>
        </w:rPr>
        <w:t xml:space="preserve">Norman C. Habel, </w:t>
      </w:r>
      <w:r>
        <w:rPr>
          <w:rFonts w:ascii="Times New Roman" w:cs="Times New Roman" w:eastAsia="Times New Roman" w:hAnsi="Times New Roman"/>
          <w:i/>
          <w:iCs/>
          <w:sz w:val="20"/>
          <w:szCs w:val="20"/>
        </w:rPr>
        <w:t xml:space="preserve">The Book of Job: A Commentary</w:t>
      </w:r>
      <w:r>
        <w:rPr>
          <w:rFonts w:ascii="Times New Roman" w:cs="Times New Roman" w:eastAsia="Times New Roman" w:hAnsi="Times New Roman"/>
          <w:sz w:val="20"/>
          <w:szCs w:val="20"/>
        </w:rPr>
        <w:t xml:space="preserve">, OTL (Philadelphia: Westminster, 1985), 540–41.</w:t>
      </w:r>
    </w:p>
  </w:footnote>
  <w:footnote w:id="4">
    <w:p>
      <w:pPr>
        <w:spacing w:line="240"/>
        <w:ind w:left="360" w:hanging="360"/>
      </w:pPr>
      <w:r>
        <w:rPr>
          <w:rStyle w:val="FootnoteReference"/>
        </w:rPr>
        <w:footnoteRef/>
      </w:r>
      <w:r>
        <w:rPr>
          <w:rFonts w:ascii="Times New Roman" w:cs="Times New Roman" w:eastAsia="Times New Roman" w:hAnsi="Times New Roman"/>
          <w:sz w:val="20"/>
          <w:szCs w:val="20"/>
        </w:rPr>
        <w:t xml:space="preserve">Bryan W. Van Norden, trans., </w:t>
      </w:r>
      <w:r>
        <w:rPr>
          <w:rFonts w:ascii="Times New Roman" w:cs="Times New Roman" w:eastAsia="Times New Roman" w:hAnsi="Times New Roman"/>
          <w:i/>
          <w:iCs/>
          <w:sz w:val="20"/>
          <w:szCs w:val="20"/>
        </w:rPr>
        <w:t xml:space="preserve">Mengzi: With Selections from Traditional Commentaries</w:t>
      </w:r>
      <w:r>
        <w:rPr>
          <w:rFonts w:ascii="Times New Roman" w:cs="Times New Roman" w:eastAsia="Times New Roman" w:hAnsi="Times New Roman"/>
          <w:sz w:val="20"/>
          <w:szCs w:val="20"/>
        </w:rPr>
        <w:t xml:space="preserve"> (Indianapolis: Hackett, 2008), 162 (Mengzi 6B15).</w:t>
      </w:r>
    </w:p>
  </w:footnote>
  <w:footnote w:id="5">
    <w:p>
      <w:pPr>
        <w:spacing w:line="240"/>
        <w:ind w:left="360" w:hanging="360"/>
      </w:pPr>
      <w:r>
        <w:rPr>
          <w:rStyle w:val="FootnoteReference"/>
        </w:rPr>
        <w:footnoteRef/>
      </w:r>
      <w:r>
        <w:rPr>
          <w:rFonts w:ascii="Times New Roman" w:cs="Times New Roman" w:eastAsia="Times New Roman" w:hAnsi="Times New Roman"/>
          <w:sz w:val="20"/>
          <w:szCs w:val="20"/>
        </w:rPr>
        <w:t xml:space="preserve">Philip J. Ivanhoe, </w:t>
      </w:r>
      <w:r>
        <w:rPr>
          <w:rFonts w:ascii="Times New Roman" w:cs="Times New Roman" w:eastAsia="Times New Roman" w:hAnsi="Times New Roman"/>
          <w:i/>
          <w:iCs/>
          <w:sz w:val="20"/>
          <w:szCs w:val="20"/>
        </w:rPr>
        <w:t xml:space="preserve">Ethics in the Confucian Tradition: The Thought of Mengzi and Wang Yangming</w:t>
      </w:r>
      <w:r>
        <w:rPr>
          <w:rFonts w:ascii="Times New Roman" w:cs="Times New Roman" w:eastAsia="Times New Roman" w:hAnsi="Times New Roman"/>
          <w:sz w:val="20"/>
          <w:szCs w:val="20"/>
        </w:rPr>
        <w:t xml:space="preserve">, 2nd ed. (Indianapolis: Hackett, 2002), 89.</w:t>
      </w:r>
    </w:p>
  </w:footnote>
  <w:footnote w:id="6">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2 (Mengzi 1A1).</w:t>
      </w:r>
    </w:p>
  </w:footnote>
  <w:footnote w:id="7">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170 (Mengzi 7A1).</w:t>
      </w:r>
    </w:p>
  </w:footnote>
  <w:footnote w:id="8">
    <w:p>
      <w:pPr>
        <w:spacing w:line="240"/>
        <w:ind w:left="360" w:hanging="360"/>
      </w:pPr>
      <w:r>
        <w:rPr>
          <w:rStyle w:val="FootnoteReference"/>
        </w:rPr>
        <w:footnoteRef/>
      </w:r>
      <w:r>
        <w:rPr>
          <w:rFonts w:ascii="Times New Roman" w:cs="Times New Roman" w:eastAsia="Times New Roman" w:hAnsi="Times New Roman"/>
          <w:sz w:val="20"/>
          <w:szCs w:val="20"/>
        </w:rPr>
        <w:t xml:space="preserve">Choon-Leong Seow, </w:t>
      </w:r>
      <w:r>
        <w:rPr>
          <w:rFonts w:ascii="Times New Roman" w:cs="Times New Roman" w:eastAsia="Times New Roman" w:hAnsi="Times New Roman"/>
          <w:i/>
          <w:iCs/>
          <w:sz w:val="20"/>
          <w:szCs w:val="20"/>
        </w:rPr>
        <w:t xml:space="preserve">Job 1–21: Interpretation and Commentary</w:t>
      </w:r>
      <w:r>
        <w:rPr>
          <w:rFonts w:ascii="Times New Roman" w:cs="Times New Roman" w:eastAsia="Times New Roman" w:hAnsi="Times New Roman"/>
          <w:sz w:val="20"/>
          <w:szCs w:val="20"/>
        </w:rPr>
        <w:t xml:space="preserve">, Illuminations (Grand Rapids: Eerdmans, 2013), 97.</w:t>
      </w:r>
    </w:p>
  </w:footnote>
  <w:footnote w:id="9">
    <w:p>
      <w:pPr>
        <w:spacing w:line="240"/>
        <w:ind w:left="360" w:hanging="360"/>
      </w:pPr>
      <w:r>
        <w:rPr>
          <w:rStyle w:val="FootnoteReference"/>
        </w:rPr>
        <w:footnoteRef/>
      </w:r>
      <w:r>
        <w:rPr>
          <w:rFonts w:ascii="Times New Roman" w:cs="Times New Roman" w:eastAsia="Times New Roman" w:hAnsi="Times New Roman"/>
          <w:sz w:val="20"/>
          <w:szCs w:val="20"/>
        </w:rPr>
        <w:t xml:space="preserve">R. S. Sugirtharajah, </w:t>
      </w:r>
      <w:r>
        <w:rPr>
          <w:rFonts w:ascii="Times New Roman" w:cs="Times New Roman" w:eastAsia="Times New Roman" w:hAnsi="Times New Roman"/>
          <w:i/>
          <w:iCs/>
          <w:sz w:val="20"/>
          <w:szCs w:val="20"/>
        </w:rPr>
        <w:t xml:space="preserve">The Bible and the Third World: Precolonial, Colonial, and Postcolonial Encounters</w:t>
      </w:r>
      <w:r>
        <w:rPr>
          <w:rFonts w:ascii="Times New Roman" w:cs="Times New Roman" w:eastAsia="Times New Roman" w:hAnsi="Times New Roman"/>
          <w:sz w:val="20"/>
          <w:szCs w:val="20"/>
        </w:rPr>
        <w:t xml:space="preserve"> (Cambridge: Cambridge University Press, 2001), 246–48.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2026-06-09T22:24:11.844Z</dcterms:created>
  <dcterms:modified xsi:type="dcterms:W3CDTF">2026-06-09T22:24:11.844Z</dcterms:modified>
</cp:coreProperties>
</file>

<file path=docProps/custom.xml><?xml version="1.0" encoding="utf-8"?>
<Properties xmlns="http://schemas.openxmlformats.org/officeDocument/2006/custom-properties" xmlns:vt="http://schemas.openxmlformats.org/officeDocument/2006/docPropsVTypes"/>
</file>