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B365D"/>
          <w:sz w:val="52"/>
        </w:rPr>
        <w:t>Zuvocloud AI Solution</w:t>
      </w:r>
    </w:p>
    <w:p>
      <w:pPr>
        <w:spacing w:before="0" w:after="280"/>
      </w:pPr>
      <w:r>
        <w:rPr>
          <w:rFonts w:ascii="Calibri" w:hAnsi="Calibri"/>
          <w:color w:val="4A5568"/>
          <w:sz w:val="26"/>
        </w:rPr>
        <w:t>Multi-Tenant WhatsApp AI Business Operations Platform</w:t>
        <w:br/>
        <w:t>Comprehensive Strategic PRD, Business Plan, Target Customer ICP, Pricing &amp; Financial Model</w:t>
      </w:r>
    </w:p>
    <w:tbl>
      <w:tblPr>
        <w:tblW w:type="auto" w:w="0"/>
        <w:jc w:val="center"/>
        <w:tblLayout w:type="fixed"/>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2880"/>
        <w:gridCol w:w="6480"/>
      </w:tblGrid>
      <w:tr>
        <w:tc>
          <w:tcPr>
            <w:tcW w:type="dxa" w:w="4680"/>
            <w:shd w:fill="F7FAFC"/>
            <w:tcMar>
              <w:top w:w="60" w:type="dxa"/>
              <w:bottom w:w="60" w:type="dxa"/>
              <w:left w:w="100" w:type="dxa"/>
              <w:right w:w="100" w:type="dxa"/>
            </w:tcMar>
          </w:tcPr>
          <w:p>
            <w:pPr>
              <w:spacing w:after="0"/>
            </w:pPr>
            <w:r>
              <w:rPr>
                <w:rFonts w:ascii="Calibri" w:hAnsi="Calibri"/>
                <w:b/>
                <w:color w:val="1B365D"/>
                <w:sz w:val="19"/>
              </w:rPr>
              <w:t>Venture Lead / Author:</w:t>
            </w:r>
          </w:p>
        </w:tc>
        <w:tc>
          <w:tcPr>
            <w:tcW w:type="dxa" w:w="4680"/>
            <w:shd w:fill="FFFFFF"/>
            <w:tcMar>
              <w:top w:w="60" w:type="dxa"/>
              <w:bottom w:w="60" w:type="dxa"/>
              <w:left w:w="100" w:type="dxa"/>
              <w:right w:w="100" w:type="dxa"/>
            </w:tcMar>
          </w:tcPr>
          <w:p>
            <w:pPr>
              <w:spacing w:after="0"/>
            </w:pPr>
            <w:r>
              <w:rPr>
                <w:rFonts w:ascii="Calibri" w:hAnsi="Calibri"/>
                <w:color w:val="2D3748"/>
                <w:sz w:val="19"/>
              </w:rPr>
              <w:t>Senior Venture Strategist &amp; Serial Entrepreneur (IIM Ahmedabad Alumnus, 30+ Yrs Exp.)</w:t>
            </w:r>
          </w:p>
        </w:tc>
      </w:tr>
      <w:tr>
        <w:tc>
          <w:tcPr>
            <w:tcW w:type="dxa" w:w="4680"/>
            <w:shd w:fill="F7FAFC"/>
            <w:tcMar>
              <w:top w:w="60" w:type="dxa"/>
              <w:bottom w:w="60" w:type="dxa"/>
              <w:left w:w="100" w:type="dxa"/>
              <w:right w:w="100" w:type="dxa"/>
            </w:tcMar>
          </w:tcPr>
          <w:p>
            <w:pPr>
              <w:spacing w:after="0"/>
            </w:pPr>
            <w:r>
              <w:rPr>
                <w:rFonts w:ascii="Calibri" w:hAnsi="Calibri"/>
                <w:b/>
                <w:color w:val="1B365D"/>
                <w:sz w:val="19"/>
              </w:rPr>
              <w:t>Corporate Entity:</w:t>
            </w:r>
          </w:p>
        </w:tc>
        <w:tc>
          <w:tcPr>
            <w:tcW w:type="dxa" w:w="4680"/>
            <w:shd w:fill="FFFFFF"/>
            <w:tcMar>
              <w:top w:w="60" w:type="dxa"/>
              <w:bottom w:w="60" w:type="dxa"/>
              <w:left w:w="100" w:type="dxa"/>
              <w:right w:w="100" w:type="dxa"/>
            </w:tcMar>
          </w:tcPr>
          <w:p>
            <w:pPr>
              <w:spacing w:after="0"/>
            </w:pPr>
            <w:r>
              <w:rPr>
                <w:rFonts w:ascii="Calibri" w:hAnsi="Calibri"/>
                <w:color w:val="2D3748"/>
                <w:sz w:val="19"/>
              </w:rPr>
              <w:t>ZuvoCloud Pvt. Ltd. (zuvocloud.com) | Founders: Jitendra (Intel Background) &amp; Operations Team</w:t>
            </w:r>
          </w:p>
        </w:tc>
      </w:tr>
      <w:tr>
        <w:tc>
          <w:tcPr>
            <w:tcW w:type="dxa" w:w="4680"/>
            <w:shd w:fill="F7FAFC"/>
            <w:tcMar>
              <w:top w:w="60" w:type="dxa"/>
              <w:bottom w:w="60" w:type="dxa"/>
              <w:left w:w="100" w:type="dxa"/>
              <w:right w:w="100" w:type="dxa"/>
            </w:tcMar>
          </w:tcPr>
          <w:p>
            <w:pPr>
              <w:spacing w:after="0"/>
            </w:pPr>
            <w:r>
              <w:rPr>
                <w:rFonts w:ascii="Calibri" w:hAnsi="Calibri"/>
                <w:b/>
                <w:color w:val="1B365D"/>
                <w:sz w:val="19"/>
              </w:rPr>
              <w:t>Target Market &amp; Hub:</w:t>
            </w:r>
          </w:p>
        </w:tc>
        <w:tc>
          <w:tcPr>
            <w:tcW w:type="dxa" w:w="4680"/>
            <w:shd w:fill="FFFFFF"/>
            <w:tcMar>
              <w:top w:w="60" w:type="dxa"/>
              <w:bottom w:w="60" w:type="dxa"/>
              <w:left w:w="100" w:type="dxa"/>
              <w:right w:w="100" w:type="dxa"/>
            </w:tcMar>
          </w:tcPr>
          <w:p>
            <w:pPr>
              <w:spacing w:after="0"/>
            </w:pPr>
            <w:r>
              <w:rPr>
                <w:rFonts w:ascii="Calibri" w:hAnsi="Calibri"/>
                <w:color w:val="2D3748"/>
                <w:sz w:val="19"/>
              </w:rPr>
              <w:t>Jaipur, Rajasthan (VKI, Sitapura, Mansarovar) → Pan-India B2B SME Distribution</w:t>
            </w:r>
          </w:p>
        </w:tc>
      </w:tr>
      <w:tr>
        <w:tc>
          <w:tcPr>
            <w:tcW w:type="dxa" w:w="4680"/>
            <w:shd w:fill="F7FAFC"/>
            <w:tcMar>
              <w:top w:w="60" w:type="dxa"/>
              <w:bottom w:w="60" w:type="dxa"/>
              <w:left w:w="100" w:type="dxa"/>
              <w:right w:w="100" w:type="dxa"/>
            </w:tcMar>
          </w:tcPr>
          <w:p>
            <w:pPr>
              <w:spacing w:after="0"/>
            </w:pPr>
            <w:r>
              <w:rPr>
                <w:rFonts w:ascii="Calibri" w:hAnsi="Calibri"/>
                <w:b/>
                <w:color w:val="1B365D"/>
                <w:sz w:val="19"/>
              </w:rPr>
              <w:t>Document Status &amp; Version:</w:t>
            </w:r>
          </w:p>
        </w:tc>
        <w:tc>
          <w:tcPr>
            <w:tcW w:type="dxa" w:w="4680"/>
            <w:shd w:fill="FFFFFF"/>
            <w:tcMar>
              <w:top w:w="60" w:type="dxa"/>
              <w:bottom w:w="60" w:type="dxa"/>
              <w:left w:w="100" w:type="dxa"/>
              <w:right w:w="100" w:type="dxa"/>
            </w:tcMar>
          </w:tcPr>
          <w:p>
            <w:pPr>
              <w:spacing w:after="0"/>
            </w:pPr>
            <w:r>
              <w:rPr>
                <w:rFonts w:ascii="Calibri" w:hAnsi="Calibri"/>
                <w:color w:val="2D3748"/>
                <w:sz w:val="19"/>
              </w:rPr>
              <w:t>Executive Release v1.1 | Commercially Validated PRD, AI Guardrails &amp; POC Acceptance Blueprint</w:t>
            </w:r>
          </w:p>
        </w:tc>
      </w:tr>
    </w:tbl>
    <w:p>
      <w:pPr>
        <w:spacing w:after="160"/>
      </w:pPr>
    </w:p>
    <w:p>
      <w:pPr>
        <w:pStyle w:val="Heading1"/>
        <w:spacing w:before="280" w:after="120"/>
      </w:pPr>
      <w:r>
        <w:rPr>
          <w:rFonts w:ascii="Arial" w:hAnsi="Arial"/>
          <w:color w:val="1B365D"/>
          <w:sz w:val="32"/>
        </w:rPr>
        <w:t>1. Executive Summary &amp; Strategic Venture Thesis</w:t>
      </w:r>
    </w:p>
    <w:p>
      <w:pPr>
        <w:spacing w:after="120" w:line="276" w:lineRule="auto"/>
      </w:pPr>
      <w:r>
        <w:t>India's 12.8 million registered MSMEs, wholesalers, and distributors run their daily commercial operations almost exclusively over WhatsApp. Orders, pricing inquiries, credit renegotiations, dispatch schedules, and dispute resolutions are handled across 3 to 15 fragmented WhatsApp numbers held by counter staff, field sales reps, and warehouse managers. While agile for front-line communication, this creates an acute operational crisis for the business owner ("Sethji"): zero centralized visibility, rampant revenue leakage (8–15% missed/unattended inquiries), and untracked credit risk.</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24" w:space="0" w:color="1B365D"/>
              <w:top w:val="none"/>
              <w:right w:val="none"/>
              <w:bottom w:val="none"/>
            </w:tcBorders>
          </w:tcPr>
          <w:p>
            <w:pPr>
              <w:spacing w:before="40" w:after="80"/>
            </w:pPr>
            <w:r>
              <w:rPr>
                <w:rFonts w:ascii="Calibri" w:hAnsi="Calibri"/>
                <w:b/>
                <w:color w:val="1B365D"/>
                <w:sz w:val="21"/>
              </w:rPr>
              <w:t xml:space="preserve">[THE CORE VENTURE THESIS] </w:t>
            </w:r>
            <w:r>
              <w:rPr>
                <w:rFonts w:ascii="Calibri" w:hAnsi="Calibri"/>
                <w:i/>
                <w:color w:val="2D3748"/>
                <w:sz w:val="20"/>
              </w:rPr>
              <w:t>THE ANTI-DISRUPTION PRINCIPLE: Never attempt to force an Indian trader or his field staff to abandon WhatsApp for a standalone CRM or mobile app. They will resist, falsify data, or abandon it within two weeks. ZuvoCloud treats WhatsApp as the universal input terminal and layers an ambient, deterministic AI operating system on top.</w:t>
            </w:r>
          </w:p>
        </w:tc>
      </w:tr>
    </w:tbl>
    <w:p>
      <w:pPr>
        <w:spacing w:after="80"/>
      </w:pPr>
    </w:p>
    <w:p>
      <w:pPr>
        <w:pStyle w:val="Heading2"/>
        <w:spacing w:before="200" w:after="80"/>
      </w:pPr>
      <w:r>
        <w:rPr>
          <w:rFonts w:ascii="Arial" w:hAnsi="Arial"/>
          <w:color w:val="1B365D"/>
          <w:sz w:val="26"/>
        </w:rPr>
        <w:t>1.1 Core Strategic Differentiators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3312"/>
        <w:gridCol w:w="3456"/>
      </w:tblGrid>
      <w:tr>
        <w:tc>
          <w:tcPr>
            <w:tcW w:type="dxa" w:w="3120"/>
            <w:shd w:fill="1B365D"/>
            <w:tcMar>
              <w:top w:w="80" w:type="dxa"/>
              <w:bottom w:w="80" w:type="dxa"/>
              <w:left w:w="100" w:type="dxa"/>
              <w:right w:w="100" w:type="dxa"/>
            </w:tcMar>
          </w:tcPr>
          <w:p>
            <w:pPr>
              <w:spacing w:after="0"/>
            </w:pPr>
            <w:r>
              <w:rPr>
                <w:rFonts w:ascii="Calibri" w:hAnsi="Calibri"/>
                <w:b/>
                <w:color w:val="FFFFFF"/>
                <w:sz w:val="19"/>
              </w:rPr>
              <w:t>Dimension</w:t>
            </w:r>
          </w:p>
        </w:tc>
        <w:tc>
          <w:tcPr>
            <w:tcW w:type="dxa" w:w="3120"/>
            <w:shd w:fill="1B365D"/>
            <w:tcMar>
              <w:top w:w="80" w:type="dxa"/>
              <w:bottom w:w="80" w:type="dxa"/>
              <w:left w:w="100" w:type="dxa"/>
              <w:right w:w="100" w:type="dxa"/>
            </w:tcMar>
          </w:tcPr>
          <w:p>
            <w:pPr>
              <w:spacing w:after="0"/>
            </w:pPr>
            <w:r>
              <w:rPr>
                <w:rFonts w:ascii="Calibri" w:hAnsi="Calibri"/>
                <w:b/>
                <w:color w:val="FFFFFF"/>
                <w:sz w:val="19"/>
              </w:rPr>
              <w:t>Traditional Approach / Generic Chatbot</w:t>
            </w:r>
          </w:p>
        </w:tc>
        <w:tc>
          <w:tcPr>
            <w:tcW w:type="dxa" w:w="3120"/>
            <w:shd w:fill="1B365D"/>
            <w:tcMar>
              <w:top w:w="80" w:type="dxa"/>
              <w:bottom w:w="80" w:type="dxa"/>
              <w:left w:w="100" w:type="dxa"/>
              <w:right w:w="100" w:type="dxa"/>
            </w:tcMar>
          </w:tcPr>
          <w:p>
            <w:pPr>
              <w:spacing w:after="0"/>
            </w:pPr>
            <w:r>
              <w:rPr>
                <w:rFonts w:ascii="Calibri" w:hAnsi="Calibri"/>
                <w:b/>
                <w:color w:val="FFFFFF"/>
                <w:sz w:val="19"/>
              </w:rPr>
              <w:t>ZuvoCloud AI Solution (IIM-A Blueprint)</w:t>
            </w:r>
          </w:p>
        </w:tc>
      </w:tr>
      <w:tr>
        <w:tc>
          <w:tcPr>
            <w:tcW w:type="dxa" w:w="3120"/>
            <w:shd w:fill="F7FAFC"/>
            <w:tcMar>
              <w:top w:w="60" w:type="dxa"/>
              <w:bottom w:w="60" w:type="dxa"/>
              <w:left w:w="100" w:type="dxa"/>
              <w:right w:w="100" w:type="dxa"/>
            </w:tcMar>
          </w:tcPr>
          <w:p>
            <w:pPr>
              <w:spacing w:after="0"/>
            </w:pPr>
            <w:r>
              <w:rPr>
                <w:rFonts w:ascii="Calibri" w:hAnsi="Calibri"/>
                <w:b/>
                <w:color w:val="1B365D"/>
                <w:sz w:val="18"/>
              </w:rPr>
              <w:t>User Workflow</w:t>
            </w:r>
          </w:p>
        </w:tc>
        <w:tc>
          <w:tcPr>
            <w:tcW w:type="dxa" w:w="3120"/>
            <w:shd w:fill="F7FAFC"/>
            <w:tcMar>
              <w:top w:w="60" w:type="dxa"/>
              <w:bottom w:w="60" w:type="dxa"/>
              <w:left w:w="100" w:type="dxa"/>
              <w:right w:w="100" w:type="dxa"/>
            </w:tcMar>
          </w:tcPr>
          <w:p>
            <w:pPr>
              <w:spacing w:after="0"/>
            </w:pPr>
            <w:r>
              <w:rPr>
                <w:rFonts w:ascii="Calibri" w:hAnsi="Calibri"/>
                <w:color w:val="2D3748"/>
                <w:sz w:val="18"/>
              </w:rPr>
              <w:t>Forced login to complex desktop CRM/App.</w:t>
            </w:r>
          </w:p>
        </w:tc>
        <w:tc>
          <w:tcPr>
            <w:tcW w:type="dxa" w:w="3120"/>
            <w:shd w:fill="F7FAFC"/>
            <w:tcMar>
              <w:top w:w="60" w:type="dxa"/>
              <w:bottom w:w="60" w:type="dxa"/>
              <w:left w:w="100" w:type="dxa"/>
              <w:right w:w="100" w:type="dxa"/>
            </w:tcMar>
          </w:tcPr>
          <w:p>
            <w:pPr>
              <w:spacing w:after="0"/>
            </w:pPr>
            <w:r>
              <w:rPr>
                <w:rFonts w:ascii="Calibri" w:hAnsi="Calibri"/>
                <w:color w:val="2D3748"/>
                <w:sz w:val="18"/>
              </w:rPr>
              <w:t>Zero UI change: Staff continues messaging on WhatsApp.</w:t>
            </w:r>
          </w:p>
        </w:tc>
      </w:tr>
      <w:tr>
        <w:tc>
          <w:tcPr>
            <w:tcW w:type="dxa" w:w="3120"/>
            <w:shd w:fill="FFFFFF"/>
            <w:tcMar>
              <w:top w:w="60" w:type="dxa"/>
              <w:bottom w:w="60" w:type="dxa"/>
              <w:left w:w="100" w:type="dxa"/>
              <w:right w:w="100" w:type="dxa"/>
            </w:tcMar>
          </w:tcPr>
          <w:p>
            <w:pPr>
              <w:spacing w:after="0"/>
            </w:pPr>
            <w:r>
              <w:rPr>
                <w:rFonts w:ascii="Calibri" w:hAnsi="Calibri"/>
                <w:b/>
                <w:color w:val="1B365D"/>
                <w:sz w:val="18"/>
              </w:rPr>
              <w:t>AI Role &amp; Trust</w:t>
            </w:r>
          </w:p>
        </w:tc>
        <w:tc>
          <w:tcPr>
            <w:tcW w:type="dxa" w:w="3120"/>
            <w:shd w:fill="FFFFFF"/>
            <w:tcMar>
              <w:top w:w="60" w:type="dxa"/>
              <w:bottom w:w="60" w:type="dxa"/>
              <w:left w:w="100" w:type="dxa"/>
              <w:right w:w="100" w:type="dxa"/>
            </w:tcMar>
          </w:tcPr>
          <w:p>
            <w:pPr>
              <w:spacing w:after="0"/>
            </w:pPr>
            <w:r>
              <w:rPr>
                <w:rFonts w:ascii="Calibri" w:hAnsi="Calibri"/>
                <w:color w:val="2D3748"/>
                <w:sz w:val="18"/>
              </w:rPr>
              <w:t>Autonomous chatbot talking to customers directly.</w:t>
            </w:r>
          </w:p>
        </w:tc>
        <w:tc>
          <w:tcPr>
            <w:tcW w:type="dxa" w:w="3120"/>
            <w:shd w:fill="FFFFFF"/>
            <w:tcMar>
              <w:top w:w="60" w:type="dxa"/>
              <w:bottom w:w="60" w:type="dxa"/>
              <w:left w:w="100" w:type="dxa"/>
              <w:right w:w="100" w:type="dxa"/>
            </w:tcMar>
          </w:tcPr>
          <w:p>
            <w:pPr>
              <w:spacing w:after="0"/>
            </w:pPr>
            <w:r>
              <w:rPr>
                <w:rFonts w:ascii="Calibri" w:hAnsi="Calibri"/>
                <w:color w:val="2D3748"/>
                <w:sz w:val="18"/>
              </w:rPr>
              <w:t>Silent operational copilot: extracts entities &amp; equips the owner.</w:t>
            </w:r>
          </w:p>
        </w:tc>
      </w:tr>
      <w:tr>
        <w:tc>
          <w:tcPr>
            <w:tcW w:type="dxa" w:w="3120"/>
            <w:shd w:fill="F7FAFC"/>
            <w:tcMar>
              <w:top w:w="60" w:type="dxa"/>
              <w:bottom w:w="60" w:type="dxa"/>
              <w:left w:w="100" w:type="dxa"/>
              <w:right w:w="100" w:type="dxa"/>
            </w:tcMar>
          </w:tcPr>
          <w:p>
            <w:pPr>
              <w:spacing w:after="0"/>
            </w:pPr>
            <w:r>
              <w:rPr>
                <w:rFonts w:ascii="Calibri" w:hAnsi="Calibri"/>
                <w:b/>
                <w:color w:val="1B365D"/>
                <w:sz w:val="18"/>
              </w:rPr>
              <w:t>Business Truth</w:t>
            </w:r>
          </w:p>
        </w:tc>
        <w:tc>
          <w:tcPr>
            <w:tcW w:type="dxa" w:w="3120"/>
            <w:shd w:fill="F7FAFC"/>
            <w:tcMar>
              <w:top w:w="60" w:type="dxa"/>
              <w:bottom w:w="60" w:type="dxa"/>
              <w:left w:w="100" w:type="dxa"/>
              <w:right w:w="100" w:type="dxa"/>
            </w:tcMar>
          </w:tcPr>
          <w:p>
            <w:pPr>
              <w:spacing w:after="0"/>
            </w:pPr>
            <w:r>
              <w:rPr>
                <w:rFonts w:ascii="Calibri" w:hAnsi="Calibri"/>
                <w:color w:val="2D3748"/>
                <w:sz w:val="18"/>
              </w:rPr>
              <w:t>LLM hallucinates stock &amp; price discounts.</w:t>
            </w:r>
          </w:p>
        </w:tc>
        <w:tc>
          <w:tcPr>
            <w:tcW w:type="dxa" w:w="3120"/>
            <w:shd w:fill="F7FAFC"/>
            <w:tcMar>
              <w:top w:w="60" w:type="dxa"/>
              <w:bottom w:w="60" w:type="dxa"/>
              <w:left w:w="100" w:type="dxa"/>
              <w:right w:w="100" w:type="dxa"/>
            </w:tcMar>
          </w:tcPr>
          <w:p>
            <w:pPr>
              <w:spacing w:after="0"/>
            </w:pPr>
            <w:r>
              <w:rPr>
                <w:rFonts w:ascii="Calibri" w:hAnsi="Calibri"/>
                <w:color w:val="2D3748"/>
                <w:sz w:val="18"/>
              </w:rPr>
              <w:t>Deterministic tools: Backend code &amp; DB are sole truth.</w:t>
            </w:r>
          </w:p>
        </w:tc>
      </w:tr>
      <w:tr>
        <w:tc>
          <w:tcPr>
            <w:tcW w:type="dxa" w:w="3120"/>
            <w:shd w:fill="FFFFFF"/>
            <w:tcMar>
              <w:top w:w="60" w:type="dxa"/>
              <w:bottom w:w="60" w:type="dxa"/>
              <w:left w:w="100" w:type="dxa"/>
              <w:right w:w="100" w:type="dxa"/>
            </w:tcMar>
          </w:tcPr>
          <w:p>
            <w:pPr>
              <w:spacing w:after="0"/>
            </w:pPr>
            <w:r>
              <w:rPr>
                <w:rFonts w:ascii="Calibri" w:hAnsi="Calibri"/>
                <w:b/>
                <w:color w:val="1B365D"/>
                <w:sz w:val="18"/>
              </w:rPr>
              <w:t>Multi-Worker Ops</w:t>
            </w:r>
          </w:p>
        </w:tc>
        <w:tc>
          <w:tcPr>
            <w:tcW w:type="dxa" w:w="3120"/>
            <w:shd w:fill="FFFFFF"/>
            <w:tcMar>
              <w:top w:w="60" w:type="dxa"/>
              <w:bottom w:w="60" w:type="dxa"/>
              <w:left w:w="100" w:type="dxa"/>
              <w:right w:w="100" w:type="dxa"/>
            </w:tcMar>
          </w:tcPr>
          <w:p>
            <w:pPr>
              <w:spacing w:after="0"/>
            </w:pPr>
            <w:r>
              <w:rPr>
                <w:rFonts w:ascii="Calibri" w:hAnsi="Calibri"/>
                <w:color w:val="2D3748"/>
                <w:sz w:val="18"/>
              </w:rPr>
              <w:t>Single generic chatbot number for entire company.</w:t>
            </w:r>
          </w:p>
        </w:tc>
        <w:tc>
          <w:tcPr>
            <w:tcW w:type="dxa" w:w="3120"/>
            <w:shd w:fill="FFFFFF"/>
            <w:tcMar>
              <w:top w:w="60" w:type="dxa"/>
              <w:bottom w:w="60" w:type="dxa"/>
              <w:left w:w="100" w:type="dxa"/>
              <w:right w:w="100" w:type="dxa"/>
            </w:tcMar>
          </w:tcPr>
          <w:p>
            <w:pPr>
              <w:spacing w:after="0"/>
            </w:pPr>
            <w:r>
              <w:rPr>
                <w:rFonts w:ascii="Calibri" w:hAnsi="Calibri"/>
                <w:color w:val="2D3748"/>
                <w:sz w:val="18"/>
              </w:rPr>
              <w:t>Maps N individual worker WhatsApp numbers to 1 tenant.</w:t>
            </w:r>
          </w:p>
        </w:tc>
      </w:tr>
    </w:tbl>
    <w:p>
      <w:pPr>
        <w:spacing w:after="120"/>
      </w:pPr>
    </w:p>
    <w:p>
      <w:pPr>
        <w:pStyle w:val="Heading1"/>
        <w:spacing w:before="280" w:after="120"/>
      </w:pPr>
      <w:r>
        <w:rPr>
          <w:rFonts w:ascii="Arial" w:hAnsi="Arial"/>
          <w:color w:val="1B365D"/>
          <w:sz w:val="32"/>
        </w:rPr>
        <w:t>2. Target Customer Profile (ICP) &amp; Market Sizing</w:t>
      </w:r>
    </w:p>
    <w:p>
      <w:pPr>
        <w:spacing w:after="120" w:line="276" w:lineRule="auto"/>
      </w:pPr>
      <w:r>
        <w:t>Commercial success dictates extreme geographic and vertical focus before horizontal expansion. Jaipur represents an ideal sandbox: 85,000+ active trade/manufacturing entities clustered in specialized industrial zones, combined with local operational presence through the co-founder's on-ground availability for physical onboarding.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2304"/>
        <w:gridCol w:w="2304"/>
        <w:gridCol w:w="2160"/>
      </w:tblGrid>
      <w:tr>
        <w:tc>
          <w:tcPr>
            <w:tcW w:type="dxa" w:w="2340"/>
            <w:shd w:fill="1B365D"/>
            <w:tcMar>
              <w:top w:w="80" w:type="dxa"/>
              <w:bottom w:w="80" w:type="dxa"/>
              <w:left w:w="80" w:type="dxa"/>
              <w:right w:w="80" w:type="dxa"/>
            </w:tcMar>
          </w:tcPr>
          <w:p>
            <w:pPr>
              <w:spacing w:after="0"/>
            </w:pPr>
            <w:r>
              <w:rPr>
                <w:rFonts w:ascii="Calibri" w:hAnsi="Calibri"/>
                <w:b/>
                <w:color w:val="FFFFFF"/>
                <w:sz w:val="18"/>
              </w:rPr>
              <w:t>Evaluation Metric</w:t>
            </w:r>
          </w:p>
        </w:tc>
        <w:tc>
          <w:tcPr>
            <w:tcW w:type="dxa" w:w="2340"/>
            <w:shd w:fill="1B365D"/>
            <w:tcMar>
              <w:top w:w="80" w:type="dxa"/>
              <w:bottom w:w="80" w:type="dxa"/>
              <w:left w:w="80" w:type="dxa"/>
              <w:right w:w="80" w:type="dxa"/>
            </w:tcMar>
          </w:tcPr>
          <w:p>
            <w:pPr>
              <w:spacing w:after="0"/>
            </w:pPr>
            <w:r>
              <w:rPr>
                <w:rFonts w:ascii="Calibri" w:hAnsi="Calibri"/>
                <w:b/>
                <w:color w:val="FFFFFF"/>
                <w:sz w:val="18"/>
              </w:rPr>
              <w:t>Vertical A: Building Materials &amp; Hardware (VKI)</w:t>
            </w:r>
          </w:p>
        </w:tc>
        <w:tc>
          <w:tcPr>
            <w:tcW w:type="dxa" w:w="2340"/>
            <w:shd w:fill="1B365D"/>
            <w:tcMar>
              <w:top w:w="80" w:type="dxa"/>
              <w:bottom w:w="80" w:type="dxa"/>
              <w:left w:w="80" w:type="dxa"/>
              <w:right w:w="80" w:type="dxa"/>
            </w:tcMar>
          </w:tcPr>
          <w:p>
            <w:pPr>
              <w:spacing w:after="0"/>
            </w:pPr>
            <w:r>
              <w:rPr>
                <w:rFonts w:ascii="Calibri" w:hAnsi="Calibri"/>
                <w:b/>
                <w:color w:val="FFFFFF"/>
                <w:sz w:val="18"/>
              </w:rPr>
              <w:t>Vertical B: Textiles &amp; Garments (Sanganer)</w:t>
            </w:r>
          </w:p>
        </w:tc>
        <w:tc>
          <w:tcPr>
            <w:tcW w:type="dxa" w:w="2340"/>
            <w:shd w:fill="1B365D"/>
            <w:tcMar>
              <w:top w:w="80" w:type="dxa"/>
              <w:bottom w:w="80" w:type="dxa"/>
              <w:left w:w="80" w:type="dxa"/>
              <w:right w:w="80" w:type="dxa"/>
            </w:tcMar>
          </w:tcPr>
          <w:p>
            <w:pPr>
              <w:spacing w:after="0"/>
            </w:pPr>
            <w:r>
              <w:rPr>
                <w:rFonts w:ascii="Calibri" w:hAnsi="Calibri"/>
                <w:b/>
                <w:color w:val="FFFFFF"/>
                <w:sz w:val="18"/>
              </w:rPr>
              <w:t>Vertical C: FMCG &amp; Foods Stockists</w:t>
            </w:r>
          </w:p>
        </w:tc>
      </w:tr>
      <w:tr>
        <w:tc>
          <w:tcPr>
            <w:tcW w:type="dxa" w:w="2340"/>
            <w:shd w:fill="F7FAFC"/>
            <w:tcMar>
              <w:top w:w="60" w:type="dxa"/>
              <w:bottom w:w="60" w:type="dxa"/>
              <w:left w:w="80" w:type="dxa"/>
              <w:right w:w="80" w:type="dxa"/>
            </w:tcMar>
          </w:tcPr>
          <w:p>
            <w:pPr>
              <w:spacing w:after="0"/>
            </w:pPr>
            <w:r>
              <w:rPr>
                <w:rFonts w:ascii="Calibri" w:hAnsi="Calibri"/>
                <w:b/>
                <w:color w:val="1B365D"/>
                <w:sz w:val="17"/>
              </w:rPr>
              <w:t>Daily Order Volume</w:t>
            </w:r>
          </w:p>
        </w:tc>
        <w:tc>
          <w:tcPr>
            <w:tcW w:type="dxa" w:w="2340"/>
            <w:shd w:fill="F7FAFC"/>
            <w:tcMar>
              <w:top w:w="60" w:type="dxa"/>
              <w:bottom w:w="60" w:type="dxa"/>
              <w:left w:w="80" w:type="dxa"/>
              <w:right w:w="80" w:type="dxa"/>
            </w:tcMar>
          </w:tcPr>
          <w:p>
            <w:pPr>
              <w:spacing w:after="0"/>
            </w:pPr>
            <w:r>
              <w:rPr>
                <w:rFonts w:ascii="Calibri" w:hAnsi="Calibri"/>
                <w:b/>
                <w:color w:val="0D9488"/>
                <w:sz w:val="17"/>
              </w:rPr>
              <w:t>High (20–80 orders/day)</w:t>
            </w:r>
          </w:p>
        </w:tc>
        <w:tc>
          <w:tcPr>
            <w:tcW w:type="dxa" w:w="2340"/>
            <w:shd w:fill="F7FAFC"/>
            <w:tcMar>
              <w:top w:w="60" w:type="dxa"/>
              <w:bottom w:w="60" w:type="dxa"/>
              <w:left w:w="80" w:type="dxa"/>
              <w:right w:w="80" w:type="dxa"/>
            </w:tcMar>
          </w:tcPr>
          <w:p>
            <w:pPr>
              <w:spacing w:after="0"/>
            </w:pPr>
            <w:r>
              <w:rPr>
                <w:rFonts w:ascii="Calibri" w:hAnsi="Calibri"/>
                <w:color w:val="2D3748"/>
                <w:sz w:val="17"/>
              </w:rPr>
              <w:t>Moderate (5–20 customized batches)</w:t>
            </w:r>
          </w:p>
        </w:tc>
        <w:tc>
          <w:tcPr>
            <w:tcW w:type="dxa" w:w="2340"/>
            <w:shd w:fill="F7FAFC"/>
            <w:tcMar>
              <w:top w:w="60" w:type="dxa"/>
              <w:bottom w:w="60" w:type="dxa"/>
              <w:left w:w="80" w:type="dxa"/>
              <w:right w:w="80" w:type="dxa"/>
            </w:tcMar>
          </w:tcPr>
          <w:p>
            <w:pPr>
              <w:spacing w:after="0"/>
            </w:pPr>
            <w:r>
              <w:rPr>
                <w:rFonts w:ascii="Calibri" w:hAnsi="Calibri"/>
                <w:color w:val="2D3748"/>
                <w:sz w:val="17"/>
              </w:rPr>
              <w:t>Very High (100–300 rapid line items)</w:t>
            </w:r>
          </w:p>
        </w:tc>
      </w:tr>
      <w:tr>
        <w:tc>
          <w:tcPr>
            <w:tcW w:type="dxa" w:w="2340"/>
            <w:shd w:fill="FFFFFF"/>
            <w:tcMar>
              <w:top w:w="60" w:type="dxa"/>
              <w:bottom w:w="60" w:type="dxa"/>
              <w:left w:w="80" w:type="dxa"/>
              <w:right w:w="80" w:type="dxa"/>
            </w:tcMar>
          </w:tcPr>
          <w:p>
            <w:pPr>
              <w:spacing w:after="0"/>
            </w:pPr>
            <w:r>
              <w:rPr>
                <w:rFonts w:ascii="Calibri" w:hAnsi="Calibri"/>
                <w:b/>
                <w:color w:val="1B365D"/>
                <w:sz w:val="17"/>
              </w:rPr>
              <w:t>Credit Risk Criticality</w:t>
            </w:r>
          </w:p>
        </w:tc>
        <w:tc>
          <w:tcPr>
            <w:tcW w:type="dxa" w:w="2340"/>
            <w:shd w:fill="FFFFFF"/>
            <w:tcMar>
              <w:top w:w="60" w:type="dxa"/>
              <w:bottom w:w="60" w:type="dxa"/>
              <w:left w:w="80" w:type="dxa"/>
              <w:right w:w="80" w:type="dxa"/>
            </w:tcMar>
          </w:tcPr>
          <w:p>
            <w:pPr>
              <w:spacing w:after="0"/>
            </w:pPr>
            <w:r>
              <w:rPr>
                <w:rFonts w:ascii="Calibri" w:hAnsi="Calibri"/>
                <w:b/>
                <w:color w:val="0D9488"/>
                <w:sz w:val="17"/>
              </w:rPr>
              <w:t>Extremely Severe (30–90 day credit cycle)</w:t>
            </w:r>
          </w:p>
        </w:tc>
        <w:tc>
          <w:tcPr>
            <w:tcW w:type="dxa" w:w="2340"/>
            <w:shd w:fill="FFFFFF"/>
            <w:tcMar>
              <w:top w:w="60" w:type="dxa"/>
              <w:bottom w:w="60" w:type="dxa"/>
              <w:left w:w="80" w:type="dxa"/>
              <w:right w:w="80" w:type="dxa"/>
            </w:tcMar>
          </w:tcPr>
          <w:p>
            <w:pPr>
              <w:spacing w:after="0"/>
            </w:pPr>
            <w:r>
              <w:rPr>
                <w:rFonts w:ascii="Calibri" w:hAnsi="Calibri"/>
                <w:color w:val="2D3748"/>
                <w:sz w:val="17"/>
              </w:rPr>
              <w:t>Moderate (Advance + balance on delivery)</w:t>
            </w:r>
          </w:p>
        </w:tc>
        <w:tc>
          <w:tcPr>
            <w:tcW w:type="dxa" w:w="2340"/>
            <w:shd w:fill="FFFFFF"/>
            <w:tcMar>
              <w:top w:w="60" w:type="dxa"/>
              <w:bottom w:w="60" w:type="dxa"/>
              <w:left w:w="80" w:type="dxa"/>
              <w:right w:w="80" w:type="dxa"/>
            </w:tcMar>
          </w:tcPr>
          <w:p>
            <w:pPr>
              <w:spacing w:after="0"/>
            </w:pPr>
            <w:r>
              <w:rPr>
                <w:rFonts w:ascii="Calibri" w:hAnsi="Calibri"/>
                <w:color w:val="2D3748"/>
                <w:sz w:val="17"/>
              </w:rPr>
              <w:t>Low / Strict (7-day cash cycle)</w:t>
            </w:r>
          </w:p>
        </w:tc>
      </w:tr>
      <w:tr>
        <w:tc>
          <w:tcPr>
            <w:tcW w:type="dxa" w:w="2340"/>
            <w:shd w:fill="F7FAFC"/>
            <w:tcMar>
              <w:top w:w="60" w:type="dxa"/>
              <w:bottom w:w="60" w:type="dxa"/>
              <w:left w:w="80" w:type="dxa"/>
              <w:right w:w="80" w:type="dxa"/>
            </w:tcMar>
          </w:tcPr>
          <w:p>
            <w:pPr>
              <w:spacing w:after="0"/>
            </w:pPr>
            <w:r>
              <w:rPr>
                <w:rFonts w:ascii="Calibri" w:hAnsi="Calibri"/>
                <w:b/>
                <w:color w:val="1B365D"/>
                <w:sz w:val="17"/>
              </w:rPr>
              <w:t>Willingness to Pay (WTP)</w:t>
            </w:r>
          </w:p>
        </w:tc>
        <w:tc>
          <w:tcPr>
            <w:tcW w:type="dxa" w:w="2340"/>
            <w:shd w:fill="F7FAFC"/>
            <w:tcMar>
              <w:top w:w="60" w:type="dxa"/>
              <w:bottom w:w="60" w:type="dxa"/>
              <w:left w:w="80" w:type="dxa"/>
              <w:right w:w="80" w:type="dxa"/>
            </w:tcMar>
          </w:tcPr>
          <w:p>
            <w:pPr>
              <w:spacing w:after="0"/>
            </w:pPr>
            <w:r>
              <w:rPr>
                <w:rFonts w:ascii="Calibri" w:hAnsi="Calibri"/>
                <w:b/>
                <w:color w:val="0D9488"/>
                <w:sz w:val="17"/>
              </w:rPr>
              <w:t>₹5,000 – ₹10,000 / month (Highest)</w:t>
            </w:r>
          </w:p>
        </w:tc>
        <w:tc>
          <w:tcPr>
            <w:tcW w:type="dxa" w:w="2340"/>
            <w:shd w:fill="F7FAFC"/>
            <w:tcMar>
              <w:top w:w="60" w:type="dxa"/>
              <w:bottom w:w="60" w:type="dxa"/>
              <w:left w:w="80" w:type="dxa"/>
              <w:right w:w="80" w:type="dxa"/>
            </w:tcMar>
          </w:tcPr>
          <w:p>
            <w:pPr>
              <w:spacing w:after="0"/>
            </w:pPr>
            <w:r>
              <w:rPr>
                <w:rFonts w:ascii="Calibri" w:hAnsi="Calibri"/>
                <w:color w:val="2D3748"/>
                <w:sz w:val="17"/>
              </w:rPr>
              <w:t>₹4,000 – ₹8,000 / month</w:t>
            </w:r>
          </w:p>
        </w:tc>
        <w:tc>
          <w:tcPr>
            <w:tcW w:type="dxa" w:w="2340"/>
            <w:shd w:fill="F7FAFC"/>
            <w:tcMar>
              <w:top w:w="60" w:type="dxa"/>
              <w:bottom w:w="60" w:type="dxa"/>
              <w:left w:w="80" w:type="dxa"/>
              <w:right w:w="80" w:type="dxa"/>
            </w:tcMar>
          </w:tcPr>
          <w:p>
            <w:pPr>
              <w:spacing w:after="0"/>
            </w:pPr>
            <w:r>
              <w:rPr>
                <w:rFonts w:ascii="Calibri" w:hAnsi="Calibri"/>
                <w:color w:val="2D3748"/>
                <w:sz w:val="17"/>
              </w:rPr>
              <w:t>₹3,000 – ₹5,000 / month</w:t>
            </w:r>
          </w:p>
        </w:tc>
      </w:tr>
    </w:tbl>
    <w:p>
      <w:pPr>
        <w:spacing w:after="120"/>
      </w:pPr>
    </w:p>
    <w:p>
      <w:pPr>
        <w:pStyle w:val="Heading1"/>
        <w:spacing w:before="280" w:after="120"/>
      </w:pPr>
      <w:r>
        <w:rPr>
          <w:rFonts w:ascii="Arial" w:hAnsi="Arial"/>
          <w:color w:val="1B365D"/>
          <w:sz w:val="32"/>
        </w:rPr>
        <w:t>3. Comprehensive Product Requirements Document (PRD)</w:t>
      </w:r>
    </w:p>
    <w:p>
      <w:pPr>
        <w:spacing w:after="120" w:line="276" w:lineRule="auto"/>
      </w:pPr>
      <w:r>
        <w:t>The ZuvoCloud platform is engineered into six modular functional subsystems to guarantee horizontal scale, deterministic business safety, and strict multi-tenant isolation.</w:t>
      </w:r>
    </w:p>
    <w:p>
      <w:pPr>
        <w:pStyle w:val="Heading2"/>
        <w:spacing w:before="160" w:after="40"/>
      </w:pPr>
      <w:r>
        <w:rPr>
          <w:rFonts w:ascii="Arial" w:hAnsi="Arial"/>
          <w:color w:val="1B365D"/>
          <w:sz w:val="23"/>
        </w:rPr>
        <w:t>Module 1: Multi-Tenant Tenant &amp; Worker Number Management</w:t>
      </w:r>
    </w:p>
    <w:p>
      <w:pPr>
        <w:spacing w:after="80" w:line="276" w:lineRule="auto"/>
      </w:pPr>
      <w:r>
        <w:t>• Tenant Provisioning: UUIDv4 tenant identification, business profile, default currency (INR), and credit terms.</w:t>
        <w:br/>
        <w:t>• Multi-Worker Binding: Mapping of N distinct WhatsApp Business Numbers (Meta Cloud API) to 1 tenant workspace.</w:t>
        <w:br/>
        <w:t>• Role-Based Access Control (RBAC): Strict server-side authorization separating Owner (Aggregated Pulse), Manager (Approval limits), and Sales Workers (Isolated lines).</w:t>
      </w:r>
    </w:p>
    <w:p>
      <w:pPr>
        <w:pStyle w:val="Heading2"/>
        <w:spacing w:before="160" w:after="40"/>
      </w:pPr>
      <w:r>
        <w:rPr>
          <w:rFonts w:ascii="Arial" w:hAnsi="Arial"/>
          <w:color w:val="1B365D"/>
          <w:sz w:val="23"/>
        </w:rPr>
        <w:t>Module 2: Inbound Ingestion &amp; Pre-Processing Pipeline</w:t>
      </w:r>
    </w:p>
    <w:p>
      <w:pPr>
        <w:spacing w:after="80" w:line="276" w:lineRule="auto"/>
      </w:pPr>
      <w:r>
        <w:t>• Webhook Security: Cryptographic HMAC-SHA256 signature verification on all incoming Meta webhooks.</w:t>
        <w:br/>
        <w:t>• Ingestion Idempotency: Redis-backed message deduplication (using wamid) to prevent double-processing on network retries.</w:t>
        <w:br/>
        <w:t>• Media &amp; Voice Normalization: Inbound audio notes (.ogg/.opus/.aac) streamed through Speech-to-Text (STT) for conversational text parsing.</w:t>
      </w:r>
    </w:p>
    <w:p>
      <w:pPr>
        <w:pStyle w:val="Heading2"/>
        <w:spacing w:before="160" w:after="40"/>
      </w:pPr>
      <w:r>
        <w:rPr>
          <w:rFonts w:ascii="Arial" w:hAnsi="Arial"/>
          <w:color w:val="1B365D"/>
          <w:sz w:val="23"/>
        </w:rPr>
        <w:t>Module 3: Multi-Lingual Hinglish AI Entity Extraction</w:t>
      </w:r>
    </w:p>
    <w:p>
      <w:pPr>
        <w:spacing w:after="80" w:line="276" w:lineRule="auto"/>
      </w:pPr>
      <w:r>
        <w:t>• Intent Classification: Real-time classification into CREATE_ORDER, INQUIRY_PRICE_STOCK, PAYMENT_COMMITMENT, COMPLAINT_RETURN, and GENERAL_CHAT.</w:t>
        <w:br/>
        <w:t>• Named Entity Recognition (NER): Structured JSON output capturing Customer Account, SKU Name, Quantity, Units, Requested Rates, and Urgency.</w:t>
        <w:br/>
        <w:t>• Low-Confidence Guardrails: Intent confidence &lt; 0.80 flags record for human review rather than executing automated steps.</w:t>
      </w:r>
    </w:p>
    <w:p>
      <w:pPr>
        <w:pStyle w:val="Heading2"/>
        <w:spacing w:before="160" w:after="40"/>
      </w:pPr>
      <w:r>
        <w:rPr>
          <w:rFonts w:ascii="Arial" w:hAnsi="Arial"/>
          <w:color w:val="1B365D"/>
          <w:sz w:val="23"/>
        </w:rPr>
        <w:t>Module 4: Deterministic MCP Business Tool Bus</w:t>
      </w:r>
    </w:p>
    <w:p>
      <w:pPr>
        <w:spacing w:after="80" w:line="276" w:lineRule="auto"/>
      </w:pPr>
      <w:r>
        <w:t>• Zero-Hallucination Source of Truth: AI is strictly barred from inventing prices or approving credit. It calls backend tools: get_customer_profile(), search_item_catalog(), check_stock(), evaluate_credit_standing(), create_draft_order().</w:t>
        <w:br/>
        <w:t>• Hard Credit Limit Formula: If [Current Outstanding + Draft Orders + New Order] &gt; Credit Limit, trigger PENDING_APPROVAL and alert the Owner immediately.</w:t>
      </w:r>
    </w:p>
    <w:p>
      <w:pPr>
        <w:pStyle w:val="Heading2"/>
        <w:spacing w:before="160" w:after="40"/>
      </w:pPr>
      <w:r>
        <w:rPr>
          <w:rFonts w:ascii="Arial" w:hAnsi="Arial"/>
          <w:color w:val="1B365D"/>
          <w:sz w:val="23"/>
        </w:rPr>
        <w:t>Module 5: Owner Command Center &amp; Live Dashboard</w:t>
      </w:r>
    </w:p>
    <w:p>
      <w:pPr>
        <w:spacing w:after="80" w:line="276" w:lineRule="auto"/>
      </w:pPr>
      <w:r>
        <w:t>• Universal Live Feed: Aggregated, real-time message stream across all 5+ worker lines in one unified screen.</w:t>
        <w:br/>
        <w:t>• Multi-Filter Engine: One-click filtering by Worker, Customer Account, Intent Tag, and Approval Status.</w:t>
        <w:br/>
        <w:t>• 8:00 PM Daily Business Pulse: AI-generated evening briefing highlighting Total Orders Value, Pending Quotations, Bad Debts, and Open Disputes.</w:t>
      </w:r>
    </w:p>
    <w:p>
      <w:pPr>
        <w:pStyle w:val="Heading2"/>
        <w:spacing w:before="160" w:after="40"/>
      </w:pPr>
      <w:r>
        <w:rPr>
          <w:rFonts w:ascii="Arial" w:hAnsi="Arial"/>
          <w:color w:val="1B365D"/>
          <w:sz w:val="23"/>
        </w:rPr>
        <w:t>Module 6: Multi-Turn Conversational Commerce, Dynamic Catalog Inquiries &amp; Human Approval Gate</w:t>
      </w:r>
    </w:p>
    <w:p>
      <w:pPr>
        <w:spacing w:after="80" w:line="276" w:lineRule="auto"/>
      </w:pPr>
      <w:r>
        <w:t>• Multi-Lingual Natural Interaction: Seamless understanding across Hinglish, Hindi, and English (e.g., 'Bhaiya ek double bed aur table ka rate batao', 'What is price of 1 bed and table?', 'एक बेड और टेबल का क्या दाम है?').</w:t>
        <w:br/>
        <w:t>• Contextual Discovery &amp; Clarification: Rather than dumping arbitrary items, AI proactively asks polite clarifying questions:</w:t>
        <w:br/>
        <w:t xml:space="preserve">    1. Size / Dimension Preference: (e.g., King size vs. Queen size bed; 4-seater vs. 6-seater study table).</w:t>
        <w:br/>
        <w:t xml:space="preserve">    2. Budget &amp; Material Preference: (e.g., Solid Sheesham wood vs. Engineered wood; budget under ₹25,000).</w:t>
        <w:br/>
        <w:t>• Rich Catalog Dispatch: Invokes search_item_catalog() tool to retrieve verified SKUs and sends rich product cards with photos, specifications, and official price list.</w:t>
        <w:br/>
        <w:t>• The 80% Confidence &amp; Human Approval Gate: If message intent confidence is &lt; 80% or if customer asks for custom discounts (e.g., 'Dono saath lene par 15% discount do') exceeding allowed threshold (e.g., 5% max auto-discount), the AI pauses automated reply and alerts the Owner on Dashboard/WhatsApp with 1-click Approve/Counter-offer buttons.</w:t>
        <w:br/>
        <w:t>• Voice Notes Handling Staging: Phase 1 supports Inbound Voice Note STT transcription with structured text/media replies; Phase 2 introduces full bi-directional Voice TTS (audio answers).</w:t>
      </w:r>
    </w:p>
    <w:p>
      <w:pPr>
        <w:pStyle w:val="Heading1"/>
        <w:spacing w:before="280" w:after="120"/>
      </w:pPr>
      <w:r>
        <w:rPr>
          <w:rFonts w:ascii="Arial" w:hAnsi="Arial"/>
          <w:color w:val="1B365D"/>
          <w:sz w:val="32"/>
        </w:rPr>
        <w:t>4. Technical Architecture, Schema &amp; AI Routing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84"/>
        <w:gridCol w:w="2592"/>
        <w:gridCol w:w="3168"/>
        <w:gridCol w:w="2016"/>
      </w:tblGrid>
      <w:tr>
        <w:tc>
          <w:tcPr>
            <w:tcW w:type="dxa" w:w="2340"/>
            <w:shd w:fill="1B365D"/>
            <w:tcMar>
              <w:top w:w="80" w:type="dxa"/>
              <w:bottom w:w="80" w:type="dxa"/>
              <w:left w:w="80" w:type="dxa"/>
              <w:right w:w="80" w:type="dxa"/>
            </w:tcMar>
          </w:tcPr>
          <w:p>
            <w:pPr>
              <w:spacing w:after="0"/>
            </w:pPr>
            <w:r>
              <w:rPr>
                <w:rFonts w:ascii="Calibri" w:hAnsi="Calibri"/>
                <w:b/>
                <w:color w:val="FFFFFF"/>
                <w:sz w:val="18"/>
              </w:rPr>
              <w:t>Tier Level</w:t>
            </w:r>
          </w:p>
        </w:tc>
        <w:tc>
          <w:tcPr>
            <w:tcW w:type="dxa" w:w="2340"/>
            <w:shd w:fill="1B365D"/>
            <w:tcMar>
              <w:top w:w="80" w:type="dxa"/>
              <w:bottom w:w="80" w:type="dxa"/>
              <w:left w:w="80" w:type="dxa"/>
              <w:right w:w="80" w:type="dxa"/>
            </w:tcMar>
          </w:tcPr>
          <w:p>
            <w:pPr>
              <w:spacing w:after="0"/>
            </w:pPr>
            <w:r>
              <w:rPr>
                <w:rFonts w:ascii="Calibri" w:hAnsi="Calibri"/>
                <w:b/>
                <w:color w:val="FFFFFF"/>
                <w:sz w:val="18"/>
              </w:rPr>
              <w:t>Model / Technology</w:t>
            </w:r>
          </w:p>
        </w:tc>
        <w:tc>
          <w:tcPr>
            <w:tcW w:type="dxa" w:w="2340"/>
            <w:shd w:fill="1B365D"/>
            <w:tcMar>
              <w:top w:w="80" w:type="dxa"/>
              <w:bottom w:w="80" w:type="dxa"/>
              <w:left w:w="80" w:type="dxa"/>
              <w:right w:w="80" w:type="dxa"/>
            </w:tcMar>
          </w:tcPr>
          <w:p>
            <w:pPr>
              <w:spacing w:after="0"/>
            </w:pPr>
            <w:r>
              <w:rPr>
                <w:rFonts w:ascii="Calibri" w:hAnsi="Calibri"/>
                <w:b/>
                <w:color w:val="FFFFFF"/>
                <w:sz w:val="18"/>
              </w:rPr>
              <w:t>Workload Scope</w:t>
            </w:r>
          </w:p>
        </w:tc>
        <w:tc>
          <w:tcPr>
            <w:tcW w:type="dxa" w:w="2340"/>
            <w:shd w:fill="1B365D"/>
            <w:tcMar>
              <w:top w:w="80" w:type="dxa"/>
              <w:bottom w:w="80" w:type="dxa"/>
              <w:left w:w="80" w:type="dxa"/>
              <w:right w:w="80" w:type="dxa"/>
            </w:tcMar>
          </w:tcPr>
          <w:p>
            <w:pPr>
              <w:spacing w:after="0"/>
            </w:pPr>
            <w:r>
              <w:rPr>
                <w:rFonts w:ascii="Calibri" w:hAnsi="Calibri"/>
                <w:b/>
                <w:color w:val="FFFFFF"/>
                <w:sz w:val="18"/>
              </w:rPr>
              <w:t>Cost per 1k Msgs</w:t>
            </w:r>
          </w:p>
        </w:tc>
      </w:tr>
      <w:tr>
        <w:tc>
          <w:tcPr>
            <w:tcW w:type="dxa" w:w="2340"/>
            <w:shd w:fill="F7FAFC"/>
            <w:tcMar>
              <w:top w:w="60" w:type="dxa"/>
              <w:bottom w:w="60" w:type="dxa"/>
              <w:left w:w="80" w:type="dxa"/>
              <w:right w:w="80" w:type="dxa"/>
            </w:tcMar>
          </w:tcPr>
          <w:p>
            <w:pPr>
              <w:spacing w:after="0"/>
            </w:pPr>
            <w:r>
              <w:rPr>
                <w:rFonts w:ascii="Calibri" w:hAnsi="Calibri"/>
                <w:b/>
                <w:color w:val="1B365D"/>
                <w:sz w:val="17"/>
              </w:rPr>
              <w:t>Tier 0</w:t>
            </w:r>
          </w:p>
        </w:tc>
        <w:tc>
          <w:tcPr>
            <w:tcW w:type="dxa" w:w="2340"/>
            <w:shd w:fill="F7FAFC"/>
            <w:tcMar>
              <w:top w:w="60" w:type="dxa"/>
              <w:bottom w:w="60" w:type="dxa"/>
              <w:left w:w="80" w:type="dxa"/>
              <w:right w:w="80" w:type="dxa"/>
            </w:tcMar>
          </w:tcPr>
          <w:p>
            <w:pPr>
              <w:spacing w:after="0"/>
            </w:pPr>
            <w:r>
              <w:rPr>
                <w:rFonts w:ascii="Calibri" w:hAnsi="Calibri"/>
                <w:color w:val="2D3748"/>
                <w:sz w:val="17"/>
              </w:rPr>
              <w:t>Deterministic Code / Regex</w:t>
            </w:r>
          </w:p>
        </w:tc>
        <w:tc>
          <w:tcPr>
            <w:tcW w:type="dxa" w:w="2340"/>
            <w:shd w:fill="F7FAFC"/>
            <w:tcMar>
              <w:top w:w="60" w:type="dxa"/>
              <w:bottom w:w="60" w:type="dxa"/>
              <w:left w:w="80" w:type="dxa"/>
              <w:right w:w="80" w:type="dxa"/>
            </w:tcMar>
          </w:tcPr>
          <w:p>
            <w:pPr>
              <w:spacing w:after="0"/>
            </w:pPr>
            <w:r>
              <w:rPr>
                <w:rFonts w:ascii="Calibri" w:hAnsi="Calibri"/>
                <w:color w:val="2D3748"/>
                <w:sz w:val="17"/>
              </w:rPr>
              <w:t>Standard greetings ('Hi', 'Thanks'), exact command keywords.</w:t>
            </w:r>
          </w:p>
        </w:tc>
        <w:tc>
          <w:tcPr>
            <w:tcW w:type="dxa" w:w="2340"/>
            <w:shd w:fill="F7FAFC"/>
            <w:tcMar>
              <w:top w:w="60" w:type="dxa"/>
              <w:bottom w:w="60" w:type="dxa"/>
              <w:left w:w="80" w:type="dxa"/>
              <w:right w:w="80" w:type="dxa"/>
            </w:tcMar>
          </w:tcPr>
          <w:p>
            <w:pPr>
              <w:spacing w:after="0"/>
            </w:pPr>
            <w:r>
              <w:rPr>
                <w:rFonts w:ascii="Calibri" w:hAnsi="Calibri"/>
                <w:color w:val="2D3748"/>
                <w:sz w:val="17"/>
              </w:rPr>
              <w:t>₹0.00 (Zero API cost)</w:t>
            </w:r>
          </w:p>
        </w:tc>
      </w:tr>
      <w:tr>
        <w:tc>
          <w:tcPr>
            <w:tcW w:type="dxa" w:w="2340"/>
            <w:shd w:fill="FFFFFF"/>
            <w:tcMar>
              <w:top w:w="60" w:type="dxa"/>
              <w:bottom w:w="60" w:type="dxa"/>
              <w:left w:w="80" w:type="dxa"/>
              <w:right w:w="80" w:type="dxa"/>
            </w:tcMar>
          </w:tcPr>
          <w:p>
            <w:pPr>
              <w:spacing w:after="0"/>
            </w:pPr>
            <w:r>
              <w:rPr>
                <w:rFonts w:ascii="Calibri" w:hAnsi="Calibri"/>
                <w:b/>
                <w:color w:val="1B365D"/>
                <w:sz w:val="17"/>
              </w:rPr>
              <w:t>Tier 1</w:t>
            </w:r>
          </w:p>
        </w:tc>
        <w:tc>
          <w:tcPr>
            <w:tcW w:type="dxa" w:w="2340"/>
            <w:shd w:fill="FFFFFF"/>
            <w:tcMar>
              <w:top w:w="60" w:type="dxa"/>
              <w:bottom w:w="60" w:type="dxa"/>
              <w:left w:w="80" w:type="dxa"/>
              <w:right w:w="80" w:type="dxa"/>
            </w:tcMar>
          </w:tcPr>
          <w:p>
            <w:pPr>
              <w:spacing w:after="0"/>
            </w:pPr>
            <w:r>
              <w:rPr>
                <w:rFonts w:ascii="Calibri" w:hAnsi="Calibri"/>
                <w:color w:val="2D3748"/>
                <w:sz w:val="17"/>
              </w:rPr>
              <w:t>Local / Small Model (Qwen 1.5B)</w:t>
            </w:r>
          </w:p>
        </w:tc>
        <w:tc>
          <w:tcPr>
            <w:tcW w:type="dxa" w:w="2340"/>
            <w:shd w:fill="FFFFFF"/>
            <w:tcMar>
              <w:top w:w="60" w:type="dxa"/>
              <w:bottom w:w="60" w:type="dxa"/>
              <w:left w:w="80" w:type="dxa"/>
              <w:right w:w="80" w:type="dxa"/>
            </w:tcMar>
          </w:tcPr>
          <w:p>
            <w:pPr>
              <w:spacing w:after="0"/>
            </w:pPr>
            <w:r>
              <w:rPr>
                <w:rFonts w:ascii="Calibri" w:hAnsi="Calibri"/>
                <w:color w:val="2D3748"/>
                <w:sz w:val="17"/>
              </w:rPr>
              <w:t>Spam filtering, language detection, simple status checks.</w:t>
            </w:r>
          </w:p>
        </w:tc>
        <w:tc>
          <w:tcPr>
            <w:tcW w:type="dxa" w:w="2340"/>
            <w:shd w:fill="FFFFFF"/>
            <w:tcMar>
              <w:top w:w="60" w:type="dxa"/>
              <w:bottom w:w="60" w:type="dxa"/>
              <w:left w:w="80" w:type="dxa"/>
              <w:right w:w="80" w:type="dxa"/>
            </w:tcMar>
          </w:tcPr>
          <w:p>
            <w:pPr>
              <w:spacing w:after="0"/>
            </w:pPr>
            <w:r>
              <w:rPr>
                <w:rFonts w:ascii="Calibri" w:hAnsi="Calibri"/>
                <w:color w:val="2D3748"/>
                <w:sz w:val="17"/>
              </w:rPr>
              <w:t>₹2.50 / 1k messages</w:t>
            </w:r>
          </w:p>
        </w:tc>
      </w:tr>
      <w:tr>
        <w:tc>
          <w:tcPr>
            <w:tcW w:type="dxa" w:w="2340"/>
            <w:shd w:fill="F7FAFC"/>
            <w:tcMar>
              <w:top w:w="60" w:type="dxa"/>
              <w:bottom w:w="60" w:type="dxa"/>
              <w:left w:w="80" w:type="dxa"/>
              <w:right w:w="80" w:type="dxa"/>
            </w:tcMar>
          </w:tcPr>
          <w:p>
            <w:pPr>
              <w:spacing w:after="0"/>
            </w:pPr>
            <w:r>
              <w:rPr>
                <w:rFonts w:ascii="Calibri" w:hAnsi="Calibri"/>
                <w:b/>
                <w:color w:val="1B365D"/>
                <w:sz w:val="17"/>
              </w:rPr>
              <w:t>Tier 2</w:t>
            </w:r>
          </w:p>
        </w:tc>
        <w:tc>
          <w:tcPr>
            <w:tcW w:type="dxa" w:w="2340"/>
            <w:shd w:fill="F7FAFC"/>
            <w:tcMar>
              <w:top w:w="60" w:type="dxa"/>
              <w:bottom w:w="60" w:type="dxa"/>
              <w:left w:w="80" w:type="dxa"/>
              <w:right w:w="80" w:type="dxa"/>
            </w:tcMar>
          </w:tcPr>
          <w:p>
            <w:pPr>
              <w:spacing w:after="0"/>
            </w:pPr>
            <w:r>
              <w:rPr>
                <w:rFonts w:ascii="Calibri" w:hAnsi="Calibri"/>
                <w:color w:val="2D3748"/>
                <w:sz w:val="17"/>
              </w:rPr>
              <w:t>Frontier Cloud (Gemini Flash)</w:t>
            </w:r>
          </w:p>
        </w:tc>
        <w:tc>
          <w:tcPr>
            <w:tcW w:type="dxa" w:w="2340"/>
            <w:shd w:fill="F7FAFC"/>
            <w:tcMar>
              <w:top w:w="60" w:type="dxa"/>
              <w:bottom w:w="60" w:type="dxa"/>
              <w:left w:w="80" w:type="dxa"/>
              <w:right w:w="80" w:type="dxa"/>
            </w:tcMar>
          </w:tcPr>
          <w:p>
            <w:pPr>
              <w:spacing w:after="0"/>
            </w:pPr>
            <w:r>
              <w:rPr>
                <w:rFonts w:ascii="Calibri" w:hAnsi="Calibri"/>
                <w:color w:val="2D3748"/>
                <w:sz w:val="17"/>
              </w:rPr>
              <w:t>Hinglish Intent, Entity Extraction (NER), MCP Tool Calling.</w:t>
            </w:r>
          </w:p>
        </w:tc>
        <w:tc>
          <w:tcPr>
            <w:tcW w:type="dxa" w:w="2340"/>
            <w:shd w:fill="F7FAFC"/>
            <w:tcMar>
              <w:top w:w="60" w:type="dxa"/>
              <w:bottom w:w="60" w:type="dxa"/>
              <w:left w:w="80" w:type="dxa"/>
              <w:right w:w="80" w:type="dxa"/>
            </w:tcMar>
          </w:tcPr>
          <w:p>
            <w:pPr>
              <w:spacing w:after="0"/>
            </w:pPr>
            <w:r>
              <w:rPr>
                <w:rFonts w:ascii="Calibri" w:hAnsi="Calibri"/>
                <w:color w:val="2D3748"/>
                <w:sz w:val="17"/>
              </w:rPr>
              <w:t>₹25.00 / 1k messages</w:t>
            </w:r>
          </w:p>
        </w:tc>
      </w:tr>
      <w:tr>
        <w:tc>
          <w:tcPr>
            <w:tcW w:type="dxa" w:w="2340"/>
            <w:shd w:fill="FFFFFF"/>
            <w:tcMar>
              <w:top w:w="60" w:type="dxa"/>
              <w:bottom w:w="60" w:type="dxa"/>
              <w:left w:w="80" w:type="dxa"/>
              <w:right w:w="80" w:type="dxa"/>
            </w:tcMar>
          </w:tcPr>
          <w:p>
            <w:pPr>
              <w:spacing w:after="0"/>
            </w:pPr>
            <w:r>
              <w:rPr>
                <w:rFonts w:ascii="Calibri" w:hAnsi="Calibri"/>
                <w:b/>
                <w:color w:val="1B365D"/>
                <w:sz w:val="17"/>
              </w:rPr>
              <w:t>Tier 3</w:t>
            </w:r>
          </w:p>
        </w:tc>
        <w:tc>
          <w:tcPr>
            <w:tcW w:type="dxa" w:w="2340"/>
            <w:shd w:fill="FFFFFF"/>
            <w:tcMar>
              <w:top w:w="60" w:type="dxa"/>
              <w:bottom w:w="60" w:type="dxa"/>
              <w:left w:w="80" w:type="dxa"/>
              <w:right w:w="80" w:type="dxa"/>
            </w:tcMar>
          </w:tcPr>
          <w:p>
            <w:pPr>
              <w:spacing w:after="0"/>
            </w:pPr>
            <w:r>
              <w:rPr>
                <w:rFonts w:ascii="Calibri" w:hAnsi="Calibri"/>
                <w:color w:val="2D3748"/>
                <w:sz w:val="17"/>
              </w:rPr>
              <w:t>Premium Cloud (Claude / GPT-4o)</w:t>
            </w:r>
          </w:p>
        </w:tc>
        <w:tc>
          <w:tcPr>
            <w:tcW w:type="dxa" w:w="2340"/>
            <w:shd w:fill="FFFFFF"/>
            <w:tcMar>
              <w:top w:w="60" w:type="dxa"/>
              <w:bottom w:w="60" w:type="dxa"/>
              <w:left w:w="80" w:type="dxa"/>
              <w:right w:w="80" w:type="dxa"/>
            </w:tcMar>
          </w:tcPr>
          <w:p>
            <w:pPr>
              <w:spacing w:after="0"/>
            </w:pPr>
            <w:r>
              <w:rPr>
                <w:rFonts w:ascii="Calibri" w:hAnsi="Calibri"/>
                <w:color w:val="2D3748"/>
                <w:sz w:val="17"/>
              </w:rPr>
              <w:t>Deep dispute reconciliation, multi-document complex quotes.</w:t>
            </w:r>
          </w:p>
        </w:tc>
        <w:tc>
          <w:tcPr>
            <w:tcW w:type="dxa" w:w="2340"/>
            <w:shd w:fill="FFFFFF"/>
            <w:tcMar>
              <w:top w:w="60" w:type="dxa"/>
              <w:bottom w:w="60" w:type="dxa"/>
              <w:left w:w="80" w:type="dxa"/>
              <w:right w:w="80" w:type="dxa"/>
            </w:tcMar>
          </w:tcPr>
          <w:p>
            <w:pPr>
              <w:spacing w:after="0"/>
            </w:pPr>
            <w:r>
              <w:rPr>
                <w:rFonts w:ascii="Calibri" w:hAnsi="Calibri"/>
                <w:color w:val="2D3748"/>
                <w:sz w:val="17"/>
              </w:rPr>
              <w:t>₹350.00 / 1k msgs (On-Demand)</w:t>
            </w:r>
          </w:p>
        </w:tc>
      </w:tr>
    </w:tbl>
    <w:p>
      <w:pPr>
        <w:spacing w:after="120"/>
      </w:pPr>
    </w:p>
    <w:p>
      <w:pPr>
        <w:pStyle w:val="Heading1"/>
        <w:spacing w:before="280" w:after="120"/>
      </w:pPr>
      <w:r>
        <w:rPr>
          <w:rFonts w:ascii="Arial" w:hAnsi="Arial"/>
          <w:color w:val="1B365D"/>
          <w:sz w:val="32"/>
        </w:rPr>
        <w:t>5. Minimum Viable POC Scope &amp; Acceptance Gates</w:t>
      </w:r>
    </w:p>
    <w:p>
      <w:pPr>
        <w:spacing w:after="120" w:line="276" w:lineRule="auto"/>
      </w:pPr>
      <w:r>
        <w:t>The Proof of Concept (POC) is strictly designed for commercial conversion and technical validation with zero wasteful over-engineering.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152"/>
        <w:gridCol w:w="3888"/>
        <w:gridCol w:w="4320"/>
      </w:tblGrid>
      <w:tr>
        <w:tc>
          <w:tcPr>
            <w:tcW w:type="dxa" w:w="3120"/>
            <w:shd w:fill="1B365D"/>
            <w:tcMar>
              <w:top w:w="80" w:type="dxa"/>
              <w:bottom w:w="80" w:type="dxa"/>
              <w:left w:w="80" w:type="dxa"/>
              <w:right w:w="80" w:type="dxa"/>
            </w:tcMar>
          </w:tcPr>
          <w:p>
            <w:pPr>
              <w:spacing w:after="0"/>
            </w:pPr>
            <w:r>
              <w:rPr>
                <w:rFonts w:ascii="Calibri" w:hAnsi="Calibri"/>
                <w:b/>
                <w:color w:val="FFFFFF"/>
                <w:sz w:val="18"/>
              </w:rPr>
              <w:t>Gate</w:t>
            </w:r>
          </w:p>
        </w:tc>
        <w:tc>
          <w:tcPr>
            <w:tcW w:type="dxa" w:w="3120"/>
            <w:shd w:fill="1B365D"/>
            <w:tcMar>
              <w:top w:w="80" w:type="dxa"/>
              <w:bottom w:w="80" w:type="dxa"/>
              <w:left w:w="80" w:type="dxa"/>
              <w:right w:w="80" w:type="dxa"/>
            </w:tcMar>
          </w:tcPr>
          <w:p>
            <w:pPr>
              <w:spacing w:after="0"/>
            </w:pPr>
            <w:r>
              <w:rPr>
                <w:rFonts w:ascii="Calibri" w:hAnsi="Calibri"/>
                <w:b/>
                <w:color w:val="FFFFFF"/>
                <w:sz w:val="18"/>
              </w:rPr>
              <w:t>POC Acceptance Requirement</w:t>
            </w:r>
          </w:p>
        </w:tc>
        <w:tc>
          <w:tcPr>
            <w:tcW w:type="dxa" w:w="3120"/>
            <w:shd w:fill="1B365D"/>
            <w:tcMar>
              <w:top w:w="80" w:type="dxa"/>
              <w:bottom w:w="80" w:type="dxa"/>
              <w:left w:w="80" w:type="dxa"/>
              <w:right w:w="80" w:type="dxa"/>
            </w:tcMar>
          </w:tcPr>
          <w:p>
            <w:pPr>
              <w:spacing w:after="0"/>
            </w:pPr>
            <w:r>
              <w:rPr>
                <w:rFonts w:ascii="Calibri" w:hAnsi="Calibri"/>
                <w:b/>
                <w:color w:val="FFFFFF"/>
                <w:sz w:val="18"/>
              </w:rPr>
              <w:t>Rigorous Verification Criteria</w:t>
            </w:r>
          </w:p>
        </w:tc>
      </w:tr>
      <w:tr>
        <w:tc>
          <w:tcPr>
            <w:tcW w:type="dxa" w:w="3120"/>
            <w:shd w:fill="F7FAFC"/>
            <w:tcMar>
              <w:top w:w="60" w:type="dxa"/>
              <w:bottom w:w="60" w:type="dxa"/>
              <w:left w:w="80" w:type="dxa"/>
              <w:right w:w="80" w:type="dxa"/>
            </w:tcMar>
          </w:tcPr>
          <w:p>
            <w:pPr>
              <w:spacing w:after="0"/>
            </w:pPr>
            <w:r>
              <w:rPr>
                <w:rFonts w:ascii="Calibri" w:hAnsi="Calibri"/>
                <w:b/>
                <w:color w:val="1B365D"/>
                <w:sz w:val="17"/>
              </w:rPr>
              <w:t>G1</w:t>
            </w:r>
          </w:p>
        </w:tc>
        <w:tc>
          <w:tcPr>
            <w:tcW w:type="dxa" w:w="3120"/>
            <w:shd w:fill="F7FAFC"/>
            <w:tcMar>
              <w:top w:w="60" w:type="dxa"/>
              <w:bottom w:w="60" w:type="dxa"/>
              <w:left w:w="80" w:type="dxa"/>
              <w:right w:w="80" w:type="dxa"/>
            </w:tcMar>
          </w:tcPr>
          <w:p>
            <w:pPr>
              <w:spacing w:after="0"/>
            </w:pPr>
            <w:r>
              <w:rPr>
                <w:rFonts w:ascii="Calibri" w:hAnsi="Calibri"/>
                <w:color w:val="2D3748"/>
                <w:sz w:val="17"/>
              </w:rPr>
              <w:t>Tenant Logical Isolation</w:t>
            </w:r>
          </w:p>
        </w:tc>
        <w:tc>
          <w:tcPr>
            <w:tcW w:type="dxa" w:w="3120"/>
            <w:shd w:fill="F7FAFC"/>
            <w:tcMar>
              <w:top w:w="60" w:type="dxa"/>
              <w:bottom w:w="60" w:type="dxa"/>
              <w:left w:w="80" w:type="dxa"/>
              <w:right w:w="80" w:type="dxa"/>
            </w:tcMar>
          </w:tcPr>
          <w:p>
            <w:pPr>
              <w:spacing w:after="0"/>
            </w:pPr>
            <w:r>
              <w:rPr>
                <w:rFonts w:ascii="Calibri" w:hAnsi="Calibri"/>
                <w:color w:val="2D3748"/>
                <w:sz w:val="17"/>
              </w:rPr>
              <w:t>Tenant B API calls injected with Tenant A UUID fail with HTTP 403 Forbidden.</w:t>
            </w:r>
          </w:p>
        </w:tc>
      </w:tr>
      <w:tr>
        <w:tc>
          <w:tcPr>
            <w:tcW w:type="dxa" w:w="3120"/>
            <w:shd w:fill="FFFFFF"/>
            <w:tcMar>
              <w:top w:w="60" w:type="dxa"/>
              <w:bottom w:w="60" w:type="dxa"/>
              <w:left w:w="80" w:type="dxa"/>
              <w:right w:w="80" w:type="dxa"/>
            </w:tcMar>
          </w:tcPr>
          <w:p>
            <w:pPr>
              <w:spacing w:after="0"/>
            </w:pPr>
            <w:r>
              <w:rPr>
                <w:rFonts w:ascii="Calibri" w:hAnsi="Calibri"/>
                <w:b/>
                <w:color w:val="1B365D"/>
                <w:sz w:val="17"/>
              </w:rPr>
              <w:t>G2</w:t>
            </w:r>
          </w:p>
        </w:tc>
        <w:tc>
          <w:tcPr>
            <w:tcW w:type="dxa" w:w="3120"/>
            <w:shd w:fill="FFFFFF"/>
            <w:tcMar>
              <w:top w:w="60" w:type="dxa"/>
              <w:bottom w:w="60" w:type="dxa"/>
              <w:left w:w="80" w:type="dxa"/>
              <w:right w:w="80" w:type="dxa"/>
            </w:tcMar>
          </w:tcPr>
          <w:p>
            <w:pPr>
              <w:spacing w:after="0"/>
            </w:pPr>
            <w:r>
              <w:rPr>
                <w:rFonts w:ascii="Calibri" w:hAnsi="Calibri"/>
                <w:color w:val="2D3748"/>
                <w:sz w:val="17"/>
              </w:rPr>
              <w:t>5-Worker Number Ingestion</w:t>
            </w:r>
          </w:p>
        </w:tc>
        <w:tc>
          <w:tcPr>
            <w:tcW w:type="dxa" w:w="3120"/>
            <w:shd w:fill="FFFFFF"/>
            <w:tcMar>
              <w:top w:w="60" w:type="dxa"/>
              <w:bottom w:w="60" w:type="dxa"/>
              <w:left w:w="80" w:type="dxa"/>
              <w:right w:w="80" w:type="dxa"/>
            </w:tcMar>
          </w:tcPr>
          <w:p>
            <w:pPr>
              <w:spacing w:after="0"/>
            </w:pPr>
            <w:r>
              <w:rPr>
                <w:rFonts w:ascii="Calibri" w:hAnsi="Calibri"/>
                <w:color w:val="2D3748"/>
                <w:sz w:val="17"/>
              </w:rPr>
              <w:t>5 distinct WhatsApp numbers simultaneously ingest to 1 business tenant with correct worker attribution.</w:t>
            </w:r>
          </w:p>
        </w:tc>
      </w:tr>
      <w:tr>
        <w:tc>
          <w:tcPr>
            <w:tcW w:type="dxa" w:w="3120"/>
            <w:shd w:fill="F7FAFC"/>
            <w:tcMar>
              <w:top w:w="60" w:type="dxa"/>
              <w:bottom w:w="60" w:type="dxa"/>
              <w:left w:w="80" w:type="dxa"/>
              <w:right w:w="80" w:type="dxa"/>
            </w:tcMar>
          </w:tcPr>
          <w:p>
            <w:pPr>
              <w:spacing w:after="0"/>
            </w:pPr>
            <w:r>
              <w:rPr>
                <w:rFonts w:ascii="Calibri" w:hAnsi="Calibri"/>
                <w:b/>
                <w:color w:val="1B365D"/>
                <w:sz w:val="17"/>
              </w:rPr>
              <w:t>G3</w:t>
            </w:r>
          </w:p>
        </w:tc>
        <w:tc>
          <w:tcPr>
            <w:tcW w:type="dxa" w:w="3120"/>
            <w:shd w:fill="F7FAFC"/>
            <w:tcMar>
              <w:top w:w="60" w:type="dxa"/>
              <w:bottom w:w="60" w:type="dxa"/>
              <w:left w:w="80" w:type="dxa"/>
              <w:right w:w="80" w:type="dxa"/>
            </w:tcMar>
          </w:tcPr>
          <w:p>
            <w:pPr>
              <w:spacing w:after="0"/>
            </w:pPr>
            <w:r>
              <w:rPr>
                <w:rFonts w:ascii="Calibri" w:hAnsi="Calibri"/>
                <w:color w:val="2D3748"/>
                <w:sz w:val="17"/>
              </w:rPr>
              <w:t>Hinglish Order Extraction</w:t>
            </w:r>
          </w:p>
        </w:tc>
        <w:tc>
          <w:tcPr>
            <w:tcW w:type="dxa" w:w="3120"/>
            <w:shd w:fill="F7FAFC"/>
            <w:tcMar>
              <w:top w:w="60" w:type="dxa"/>
              <w:bottom w:w="60" w:type="dxa"/>
              <w:left w:w="80" w:type="dxa"/>
              <w:right w:w="80" w:type="dxa"/>
            </w:tcMar>
          </w:tcPr>
          <w:p>
            <w:pPr>
              <w:spacing w:after="0"/>
            </w:pPr>
            <w:r>
              <w:rPr>
                <w:rFonts w:ascii="Calibri" w:hAnsi="Calibri"/>
                <w:color w:val="2D3748"/>
                <w:sz w:val="17"/>
              </w:rPr>
              <w:t>Extracts "Sharma Traders ko 50 box pipe kal bhej do" into structured JSON schema.</w:t>
            </w:r>
          </w:p>
        </w:tc>
      </w:tr>
      <w:tr>
        <w:tc>
          <w:tcPr>
            <w:tcW w:type="dxa" w:w="3120"/>
            <w:shd w:fill="FFFFFF"/>
            <w:tcMar>
              <w:top w:w="60" w:type="dxa"/>
              <w:bottom w:w="60" w:type="dxa"/>
              <w:left w:w="80" w:type="dxa"/>
              <w:right w:w="80" w:type="dxa"/>
            </w:tcMar>
          </w:tcPr>
          <w:p>
            <w:pPr>
              <w:spacing w:after="0"/>
            </w:pPr>
            <w:r>
              <w:rPr>
                <w:rFonts w:ascii="Calibri" w:hAnsi="Calibri"/>
                <w:b/>
                <w:color w:val="1B365D"/>
                <w:sz w:val="17"/>
              </w:rPr>
              <w:t>G4</w:t>
            </w:r>
          </w:p>
        </w:tc>
        <w:tc>
          <w:tcPr>
            <w:tcW w:type="dxa" w:w="3120"/>
            <w:shd w:fill="FFFFFF"/>
            <w:tcMar>
              <w:top w:w="60" w:type="dxa"/>
              <w:bottom w:w="60" w:type="dxa"/>
              <w:left w:w="80" w:type="dxa"/>
              <w:right w:w="80" w:type="dxa"/>
            </w:tcMar>
          </w:tcPr>
          <w:p>
            <w:pPr>
              <w:spacing w:after="0"/>
            </w:pPr>
            <w:r>
              <w:rPr>
                <w:rFonts w:ascii="Calibri" w:hAnsi="Calibri"/>
                <w:color w:val="2D3748"/>
                <w:sz w:val="17"/>
              </w:rPr>
              <w:t>Deterministic Credit Rule</w:t>
            </w:r>
          </w:p>
        </w:tc>
        <w:tc>
          <w:tcPr>
            <w:tcW w:type="dxa" w:w="3120"/>
            <w:shd w:fill="FFFFFF"/>
            <w:tcMar>
              <w:top w:w="60" w:type="dxa"/>
              <w:bottom w:w="60" w:type="dxa"/>
              <w:left w:w="80" w:type="dxa"/>
              <w:right w:w="80" w:type="dxa"/>
            </w:tcMar>
          </w:tcPr>
          <w:p>
            <w:pPr>
              <w:spacing w:after="0"/>
            </w:pPr>
            <w:r>
              <w:rPr>
                <w:rFonts w:ascii="Calibri" w:hAnsi="Calibri"/>
                <w:color w:val="2D3748"/>
                <w:sz w:val="17"/>
              </w:rPr>
              <w:t>Order exceeding customer credit limit transitions to PENDING_APPROVAL; no auto-create.</w:t>
            </w:r>
          </w:p>
        </w:tc>
      </w:tr>
      <w:tr>
        <w:tc>
          <w:tcPr>
            <w:tcW w:type="dxa" w:w="3120"/>
            <w:shd w:fill="F7FAFC"/>
            <w:tcMar>
              <w:top w:w="60" w:type="dxa"/>
              <w:bottom w:w="60" w:type="dxa"/>
              <w:left w:w="80" w:type="dxa"/>
              <w:right w:w="80" w:type="dxa"/>
            </w:tcMar>
          </w:tcPr>
          <w:p>
            <w:pPr>
              <w:spacing w:after="0"/>
            </w:pPr>
            <w:r>
              <w:rPr>
                <w:rFonts w:ascii="Calibri" w:hAnsi="Calibri"/>
                <w:b/>
                <w:color w:val="1B365D"/>
                <w:sz w:val="17"/>
              </w:rPr>
              <w:t>G5</w:t>
            </w:r>
          </w:p>
        </w:tc>
        <w:tc>
          <w:tcPr>
            <w:tcW w:type="dxa" w:w="3120"/>
            <w:shd w:fill="F7FAFC"/>
            <w:tcMar>
              <w:top w:w="60" w:type="dxa"/>
              <w:bottom w:w="60" w:type="dxa"/>
              <w:left w:w="80" w:type="dxa"/>
              <w:right w:w="80" w:type="dxa"/>
            </w:tcMar>
          </w:tcPr>
          <w:p>
            <w:pPr>
              <w:spacing w:after="0"/>
            </w:pPr>
            <w:r>
              <w:rPr>
                <w:rFonts w:ascii="Calibri" w:hAnsi="Calibri"/>
                <w:color w:val="2D3748"/>
                <w:sz w:val="17"/>
              </w:rPr>
              <w:t>Unified Owner Command Center</w:t>
            </w:r>
          </w:p>
        </w:tc>
        <w:tc>
          <w:tcPr>
            <w:tcW w:type="dxa" w:w="3120"/>
            <w:shd w:fill="F7FAFC"/>
            <w:tcMar>
              <w:top w:w="60" w:type="dxa"/>
              <w:bottom w:w="60" w:type="dxa"/>
              <w:left w:w="80" w:type="dxa"/>
              <w:right w:w="80" w:type="dxa"/>
            </w:tcMar>
          </w:tcPr>
          <w:p>
            <w:pPr>
              <w:spacing w:after="0"/>
            </w:pPr>
            <w:r>
              <w:rPr>
                <w:rFonts w:ascii="Calibri" w:hAnsi="Calibri"/>
                <w:color w:val="2D3748"/>
                <w:sz w:val="17"/>
              </w:rPr>
              <w:t>Live web dashboard displays real-time aggregated chat feed under 3.5s latency.</w:t>
            </w:r>
          </w:p>
        </w:tc>
      </w:tr>
      <w:tr>
        <w:tc>
          <w:tcPr>
            <w:tcW w:type="dxa" w:w="3120"/>
            <w:shd w:fill="FFFFFF"/>
            <w:tcMar>
              <w:top w:w="60" w:type="dxa"/>
              <w:bottom w:w="60" w:type="dxa"/>
              <w:left w:w="80" w:type="dxa"/>
              <w:right w:w="80" w:type="dxa"/>
            </w:tcMar>
          </w:tcPr>
          <w:p>
            <w:pPr>
              <w:spacing w:after="0"/>
            </w:pPr>
            <w:r>
              <w:rPr>
                <w:rFonts w:ascii="Calibri" w:hAnsi="Calibri"/>
                <w:b/>
                <w:color w:val="1B365D"/>
                <w:sz w:val="17"/>
              </w:rPr>
              <w:t>G6</w:t>
            </w:r>
          </w:p>
        </w:tc>
        <w:tc>
          <w:tcPr>
            <w:tcW w:type="dxa" w:w="3120"/>
            <w:shd w:fill="FFFFFF"/>
            <w:tcMar>
              <w:top w:w="60" w:type="dxa"/>
              <w:bottom w:w="60" w:type="dxa"/>
              <w:left w:w="80" w:type="dxa"/>
              <w:right w:w="80" w:type="dxa"/>
            </w:tcMar>
          </w:tcPr>
          <w:p>
            <w:pPr>
              <w:spacing w:after="0"/>
            </w:pPr>
            <w:r>
              <w:rPr>
                <w:rFonts w:ascii="Calibri" w:hAnsi="Calibri"/>
                <w:color w:val="2D3748"/>
                <w:sz w:val="17"/>
              </w:rPr>
              <w:t>Multi-Worker Line Segmentation &amp; Customer 360° Thread Isolation</w:t>
            </w:r>
          </w:p>
        </w:tc>
        <w:tc>
          <w:tcPr>
            <w:tcW w:type="dxa" w:w="3120"/>
            <w:shd w:fill="FFFFFF"/>
            <w:tcMar>
              <w:top w:w="60" w:type="dxa"/>
              <w:bottom w:w="60" w:type="dxa"/>
              <w:left w:w="80" w:type="dxa"/>
              <w:right w:w="80" w:type="dxa"/>
            </w:tcMar>
          </w:tcPr>
          <w:p>
            <w:pPr>
              <w:spacing w:after="0"/>
            </w:pPr>
            <w:r>
              <w:rPr>
                <w:rFonts w:ascii="Calibri" w:hAnsi="Calibri"/>
                <w:color w:val="2D3748"/>
                <w:sz w:val="17"/>
              </w:rPr>
              <w:t>Filter by Worker isolates employee line; Filter by Customer unifies all worker chats into 1 chronological feed (Detailed in 5.1).</w:t>
            </w:r>
          </w:p>
        </w:tc>
      </w:tr>
      <w:tr>
        <w:tc>
          <w:tcPr>
            <w:tcW w:type="dxa" w:w="3120"/>
            <w:shd w:fill="F7FAFC"/>
            <w:tcMar>
              <w:top w:w="60" w:type="dxa"/>
              <w:bottom w:w="60" w:type="dxa"/>
              <w:left w:w="80" w:type="dxa"/>
              <w:right w:w="80" w:type="dxa"/>
            </w:tcMar>
          </w:tcPr>
          <w:p>
            <w:pPr>
              <w:spacing w:after="0"/>
            </w:pPr>
            <w:r>
              <w:rPr>
                <w:rFonts w:ascii="Calibri" w:hAnsi="Calibri"/>
                <w:b/>
                <w:color w:val="1B365D"/>
                <w:sz w:val="17"/>
              </w:rPr>
              <w:t>G7</w:t>
            </w:r>
          </w:p>
        </w:tc>
        <w:tc>
          <w:tcPr>
            <w:tcW w:type="dxa" w:w="3120"/>
            <w:shd w:fill="F7FAFC"/>
            <w:tcMar>
              <w:top w:w="60" w:type="dxa"/>
              <w:bottom w:w="60" w:type="dxa"/>
              <w:left w:w="80" w:type="dxa"/>
              <w:right w:w="80" w:type="dxa"/>
            </w:tcMar>
          </w:tcPr>
          <w:p>
            <w:pPr>
              <w:spacing w:after="0"/>
            </w:pPr>
            <w:r>
              <w:rPr>
                <w:rFonts w:ascii="Calibri" w:hAnsi="Calibri"/>
                <w:color w:val="2D3748"/>
                <w:sz w:val="17"/>
              </w:rPr>
              <w:t>Immutable Audit Trail</w:t>
            </w:r>
          </w:p>
        </w:tc>
        <w:tc>
          <w:tcPr>
            <w:tcW w:type="dxa" w:w="3120"/>
            <w:shd w:fill="F7FAFC"/>
            <w:tcMar>
              <w:top w:w="60" w:type="dxa"/>
              <w:bottom w:w="60" w:type="dxa"/>
              <w:left w:w="80" w:type="dxa"/>
              <w:right w:w="80" w:type="dxa"/>
            </w:tcMar>
          </w:tcPr>
          <w:p>
            <w:pPr>
              <w:spacing w:after="0"/>
            </w:pPr>
            <w:r>
              <w:rPr>
                <w:rFonts w:ascii="Calibri" w:hAnsi="Calibri"/>
                <w:color w:val="2D3748"/>
                <w:sz w:val="17"/>
              </w:rPr>
              <w:t>All AI tool invocations snapshot parameters into audit_logs table.</w:t>
            </w:r>
          </w:p>
        </w:tc>
      </w:tr>
      <w:tr>
        <w:tc>
          <w:tcPr>
            <w:tcW w:type="dxa" w:w="3120"/>
            <w:shd w:fill="FFFFFF"/>
            <w:tcMar>
              <w:top w:w="60" w:type="dxa"/>
              <w:bottom w:w="60" w:type="dxa"/>
              <w:left w:w="80" w:type="dxa"/>
              <w:right w:w="80" w:type="dxa"/>
            </w:tcMar>
          </w:tcPr>
          <w:p>
            <w:pPr>
              <w:spacing w:after="0"/>
            </w:pPr>
            <w:r>
              <w:rPr>
                <w:rFonts w:ascii="Calibri" w:hAnsi="Calibri"/>
                <w:b/>
                <w:color w:val="1B365D"/>
                <w:sz w:val="17"/>
              </w:rPr>
              <w:t>G8</w:t>
            </w:r>
          </w:p>
        </w:tc>
        <w:tc>
          <w:tcPr>
            <w:tcW w:type="dxa" w:w="3120"/>
            <w:shd w:fill="FFFFFF"/>
            <w:tcMar>
              <w:top w:w="60" w:type="dxa"/>
              <w:bottom w:w="60" w:type="dxa"/>
              <w:left w:w="80" w:type="dxa"/>
              <w:right w:w="80" w:type="dxa"/>
            </w:tcMar>
          </w:tcPr>
          <w:p>
            <w:pPr>
              <w:spacing w:after="0"/>
            </w:pPr>
            <w:r>
              <w:rPr>
                <w:rFonts w:ascii="Calibri" w:hAnsi="Calibri"/>
                <w:color w:val="2D3748"/>
                <w:sz w:val="17"/>
              </w:rPr>
              <w:t>Conversational Catalog &amp; 80% Confidence Gate</w:t>
            </w:r>
          </w:p>
        </w:tc>
        <w:tc>
          <w:tcPr>
            <w:tcW w:type="dxa" w:w="3120"/>
            <w:shd w:fill="FFFFFF"/>
            <w:tcMar>
              <w:top w:w="60" w:type="dxa"/>
              <w:bottom w:w="60" w:type="dxa"/>
              <w:left w:w="80" w:type="dxa"/>
              <w:right w:w="80" w:type="dxa"/>
            </w:tcMar>
          </w:tcPr>
          <w:p>
            <w:pPr>
              <w:spacing w:after="0"/>
            </w:pPr>
            <w:r>
              <w:rPr>
                <w:rFonts w:ascii="Calibri" w:hAnsi="Calibri"/>
                <w:color w:val="2D3748"/>
                <w:sz w:val="17"/>
              </w:rPr>
              <w:t>Multi-turn inquiry (bed/table) asks size/budget, sends photos/rates. If confidence &lt; 80% or discount &gt; 5% -&gt; Human Owner Alert.</w:t>
            </w:r>
          </w:p>
        </w:tc>
      </w:tr>
      <w:tr>
        <w:tc>
          <w:tcPr>
            <w:tcW w:type="dxa" w:w="3120"/>
            <w:shd w:fill="F7FAFC"/>
            <w:tcMar>
              <w:top w:w="60" w:type="dxa"/>
              <w:bottom w:w="60" w:type="dxa"/>
              <w:left w:w="80" w:type="dxa"/>
              <w:right w:w="80" w:type="dxa"/>
            </w:tcMar>
          </w:tcPr>
          <w:p>
            <w:pPr>
              <w:spacing w:after="0"/>
            </w:pPr>
            <w:r>
              <w:rPr>
                <w:rFonts w:ascii="Calibri" w:hAnsi="Calibri"/>
                <w:b/>
                <w:color w:val="1B365D"/>
                <w:sz w:val="17"/>
              </w:rPr>
              <w:t>G9</w:t>
            </w:r>
          </w:p>
        </w:tc>
        <w:tc>
          <w:tcPr>
            <w:tcW w:type="dxa" w:w="3120"/>
            <w:shd w:fill="F7FAFC"/>
            <w:tcMar>
              <w:top w:w="60" w:type="dxa"/>
              <w:bottom w:w="60" w:type="dxa"/>
              <w:left w:w="80" w:type="dxa"/>
              <w:right w:w="80" w:type="dxa"/>
            </w:tcMar>
          </w:tcPr>
          <w:p>
            <w:pPr>
              <w:spacing w:after="0"/>
            </w:pPr>
            <w:r>
              <w:rPr>
                <w:rFonts w:ascii="Calibri" w:hAnsi="Calibri"/>
                <w:color w:val="2D3748"/>
                <w:sz w:val="17"/>
              </w:rPr>
              <w:t>Inbound Voice Note STT Ingestion</w:t>
            </w:r>
          </w:p>
        </w:tc>
        <w:tc>
          <w:tcPr>
            <w:tcW w:type="dxa" w:w="3120"/>
            <w:shd w:fill="F7FAFC"/>
            <w:tcMar>
              <w:top w:w="60" w:type="dxa"/>
              <w:bottom w:w="60" w:type="dxa"/>
              <w:left w:w="80" w:type="dxa"/>
              <w:right w:w="80" w:type="dxa"/>
            </w:tcMar>
          </w:tcPr>
          <w:p>
            <w:pPr>
              <w:spacing w:after="0"/>
            </w:pPr>
            <w:r>
              <w:rPr>
                <w:rFonts w:ascii="Calibri" w:hAnsi="Calibri"/>
                <w:color w:val="2D3748"/>
                <w:sz w:val="17"/>
              </w:rPr>
              <w:t>Voice notes (.ogg/.opus) transcribed to text and processed through NLP pipeline.</w:t>
            </w:r>
          </w:p>
        </w:tc>
      </w:tr>
    </w:tbl>
    <w:p>
      <w:pPr>
        <w:spacing w:after="120"/>
      </w:pPr>
    </w:p>
    <w:p>
      <w:pPr>
        <w:pStyle w:val="Heading2"/>
        <w:spacing w:before="200" w:after="80"/>
      </w:pPr>
      <w:r>
        <w:rPr>
          <w:rFonts w:ascii="Arial" w:hAnsi="Arial"/>
          <w:color w:val="1B365D"/>
          <w:sz w:val="24"/>
        </w:rPr>
        <w:t>5.1 Comprehensive Deep-Dive: Understanding Gate G6 (Multi-Worker Line Segmentation &amp; 360° Customer Thread Isolation)</w:t>
      </w:r>
    </w:p>
    <w:p>
      <w:pPr>
        <w:spacing w:after="120" w:line="276" w:lineRule="auto"/>
      </w:pPr>
      <w:r>
        <w:t>Why is Gate G6 the core operational backbone of ZuvoCloud?</w:t>
        <w:br/>
        <w:t>In a standard Indian trading business, 5 different employees (e.g., Ramesh at Counter, Suresh in Field Sales, Mukesh in Godown) chat with clients across 5 separate physical WhatsApp numbers. This creates severe operational chaos:</w:t>
        <w:br/>
        <w:t>1. Employee Accountability Void: The owner cannot see what individual workers are committing to.</w:t>
        <w:br/>
        <w:t>2. Fragmented Client History: Customer 'Sharma Traders' chats with Suresh for price discounts, Ramesh for placing orders, and Mukesh for delivery dispatch. Their interaction history is split across 3 separate mobile phones.</w:t>
      </w:r>
    </w:p>
    <w:p>
      <w:pPr>
        <w:pStyle w:val="ListBullet"/>
        <w:spacing w:after="60" w:line="276" w:lineRule="auto"/>
      </w:pPr>
      <w:r>
        <w:rPr>
          <w:rFonts w:ascii="Calibri" w:hAnsi="Calibri"/>
          <w:b/>
          <w:color w:val="1B365D"/>
          <w:sz w:val="19"/>
        </w:rPr>
        <w:t xml:space="preserve">1. Worker-Level Isolation &amp; Audit View (Staff Accountability): </w:t>
      </w:r>
      <w:r>
        <w:rPr>
          <w:rFonts w:ascii="Calibri" w:hAnsi="Calibri"/>
          <w:color w:val="2D3748"/>
          <w:sz w:val="19"/>
        </w:rPr>
        <w:t>Owner clicks '[Worker: Ramesh (Counter)]'. The dashboard instantly displays ONLY conversations and quotes handled on Ramesh's line (+91 98290-XXXXX). Furthermore, worker Ramesh himself can only see his own assigned threads (preventing employees from stealing client lists).</w:t>
      </w:r>
    </w:p>
    <w:p>
      <w:pPr>
        <w:pStyle w:val="ListBullet"/>
        <w:spacing w:after="60" w:line="276" w:lineRule="auto"/>
      </w:pPr>
      <w:r>
        <w:rPr>
          <w:rFonts w:ascii="Calibri" w:hAnsi="Calibri"/>
          <w:b/>
          <w:color w:val="1B365D"/>
          <w:sz w:val="19"/>
        </w:rPr>
        <w:t xml:space="preserve">2. Customer 360° Unified Timeline (Eliminating Blindspots): </w:t>
      </w:r>
      <w:r>
        <w:rPr>
          <w:rFonts w:ascii="Calibri" w:hAnsi="Calibri"/>
          <w:color w:val="2D3748"/>
          <w:sz w:val="19"/>
        </w:rPr>
        <w:t>Owner clicks '[Customer: Sharma Traders]'. The system aggregates all historical and live interactions Sharma Traders had across ALL 5 worker WhatsApp lines into one single chronological thread (e.g., 10:15 AM Suresh discussed 10% discount -&gt; 02:30 PM Ramesh finalized order -&gt; 05:00 PM Mukesh dispatched goods).</w:t>
      </w:r>
    </w:p>
    <w:p>
      <w:pPr>
        <w:pStyle w:val="ListBullet"/>
        <w:spacing w:after="60" w:line="276" w:lineRule="auto"/>
      </w:pPr>
      <w:r>
        <w:rPr>
          <w:rFonts w:ascii="Calibri" w:hAnsi="Calibri"/>
          <w:b/>
          <w:color w:val="1B365D"/>
          <w:sz w:val="19"/>
        </w:rPr>
        <w:t xml:space="preserve">3. Zero Data Crosstalk Guarantee: </w:t>
      </w:r>
      <w:r>
        <w:rPr>
          <w:rFonts w:ascii="Calibri" w:hAnsi="Calibri"/>
          <w:color w:val="2D3748"/>
          <w:sz w:val="19"/>
        </w:rPr>
        <w:t>Messages from Worker A's phone never leak into Worker B's personal feed, while the Owner retains 100% centralized God-mode visibility.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24" w:space="0" w:color="1B365D"/>
              <w:top w:val="none"/>
              <w:right w:val="none"/>
              <w:bottom w:val="none"/>
            </w:tcBorders>
          </w:tcPr>
          <w:p>
            <w:pPr>
              <w:spacing w:before="40" w:after="80"/>
            </w:pPr>
            <w:r>
              <w:rPr>
                <w:rFonts w:ascii="Calibri" w:hAnsi="Calibri"/>
                <w:b/>
                <w:color w:val="1B365D"/>
                <w:sz w:val="21"/>
              </w:rPr>
              <w:t xml:space="preserve">[SALES CONVERSION PLAYBOOK] </w:t>
            </w:r>
            <w:r>
              <w:rPr>
                <w:rFonts w:ascii="Calibri" w:hAnsi="Calibri"/>
                <w:i/>
                <w:color w:val="2D3748"/>
                <w:sz w:val="20"/>
              </w:rPr>
              <w:t>THE 15-MINUTE JAIPUR 'SETHJI' DEMO SCRIPT:</w:t>
              <w:br/>
              <w:t>• Min 0–3: Ask the owner: 'Sethji, aapke 5 sales reps din bhar WhatsApp pe 200 baatein karte hain. Aapko kaise pata chalta hai kaunsa order miss ho gaya ya kis party ka credit cross ho gaya?'</w:t>
              <w:br/>
              <w:t>• Min 3–7: Send two simulated WhatsApp messages from staff phones (one valid order, one exceeding credit limit, and one catalog inquiry).</w:t>
              <w:br/>
              <w:t>• Min 7–12: Open the Owner Dashboard on an iPad: Show Order 1 auto-captured in Green, Order 2 highlighted in Amber as 'CREDIT BREACH: Held for Owner Approval', and Inquiry 3 with photo cards and size clarification.</w:t>
              <w:br/>
              <w:t>• Min 12–15: Demonstrate 1-click WhatsApp approval and ask: 'Agar ye software aapka mahine ka 1 galat dispatch aur 2 missed orders bacha le, toh kya ₹5,000/month ka investment reasonable hai?'</w:t>
            </w:r>
          </w:p>
        </w:tc>
      </w:tr>
    </w:tbl>
    <w:p>
      <w:pPr>
        <w:spacing w:after="80"/>
      </w:pPr>
    </w:p>
    <w:p>
      <w:pPr>
        <w:pStyle w:val="Heading1"/>
        <w:spacing w:before="280" w:after="120"/>
      </w:pPr>
      <w:r>
        <w:rPr>
          <w:rFonts w:ascii="Arial" w:hAnsi="Arial"/>
          <w:color w:val="1B365D"/>
          <w:sz w:val="32"/>
        </w:rPr>
        <w:t>6. Commercial Pricing Strategy &amp; Monetization</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04"/>
        <w:gridCol w:w="2304"/>
        <w:gridCol w:w="2448"/>
        <w:gridCol w:w="2304"/>
      </w:tblGrid>
      <w:tr>
        <w:tc>
          <w:tcPr>
            <w:tcW w:type="dxa" w:w="2340"/>
            <w:shd w:fill="1B365D"/>
            <w:tcMar>
              <w:top w:w="80" w:type="dxa"/>
              <w:bottom w:w="80" w:type="dxa"/>
              <w:left w:w="80" w:type="dxa"/>
              <w:right w:w="80" w:type="dxa"/>
            </w:tcMar>
          </w:tcPr>
          <w:p>
            <w:pPr>
              <w:spacing w:after="0"/>
            </w:pPr>
            <w:r>
              <w:rPr>
                <w:rFonts w:ascii="Calibri" w:hAnsi="Calibri"/>
                <w:b/>
                <w:color w:val="FFFFFF"/>
                <w:sz w:val="18"/>
              </w:rPr>
              <w:t>Plan Feature</w:t>
            </w:r>
          </w:p>
        </w:tc>
        <w:tc>
          <w:tcPr>
            <w:tcW w:type="dxa" w:w="2340"/>
            <w:shd w:fill="1B365D"/>
            <w:tcMar>
              <w:top w:w="80" w:type="dxa"/>
              <w:bottom w:w="80" w:type="dxa"/>
              <w:left w:w="80" w:type="dxa"/>
              <w:right w:w="80" w:type="dxa"/>
            </w:tcMar>
          </w:tcPr>
          <w:p>
            <w:pPr>
              <w:spacing w:after="0"/>
            </w:pPr>
            <w:r>
              <w:rPr>
                <w:rFonts w:ascii="Calibri" w:hAnsi="Calibri"/>
                <w:b/>
                <w:color w:val="FFFFFF"/>
                <w:sz w:val="18"/>
              </w:rPr>
              <w:t>Starter Growth</w:t>
            </w:r>
          </w:p>
        </w:tc>
        <w:tc>
          <w:tcPr>
            <w:tcW w:type="dxa" w:w="2340"/>
            <w:shd w:fill="1B365D"/>
            <w:tcMar>
              <w:top w:w="80" w:type="dxa"/>
              <w:bottom w:w="80" w:type="dxa"/>
              <w:left w:w="80" w:type="dxa"/>
              <w:right w:w="80" w:type="dxa"/>
            </w:tcMar>
          </w:tcPr>
          <w:p>
            <w:pPr>
              <w:spacing w:after="0"/>
            </w:pPr>
            <w:r>
              <w:rPr>
                <w:rFonts w:ascii="Calibri" w:hAnsi="Calibri"/>
                <w:b/>
                <w:color w:val="FFFFFF"/>
                <w:sz w:val="18"/>
              </w:rPr>
              <w:t>Business Pro (Core Plan)</w:t>
            </w:r>
          </w:p>
        </w:tc>
        <w:tc>
          <w:tcPr>
            <w:tcW w:type="dxa" w:w="2340"/>
            <w:shd w:fill="1B365D"/>
            <w:tcMar>
              <w:top w:w="80" w:type="dxa"/>
              <w:bottom w:w="80" w:type="dxa"/>
              <w:left w:w="80" w:type="dxa"/>
              <w:right w:w="80" w:type="dxa"/>
            </w:tcMar>
          </w:tcPr>
          <w:p>
            <w:pPr>
              <w:spacing w:after="0"/>
            </w:pPr>
            <w:r>
              <w:rPr>
                <w:rFonts w:ascii="Calibri" w:hAnsi="Calibri"/>
                <w:b/>
                <w:color w:val="FFFFFF"/>
                <w:sz w:val="18"/>
              </w:rPr>
              <w:t>Enterprise Distributor</w:t>
            </w:r>
          </w:p>
        </w:tc>
      </w:tr>
      <w:tr>
        <w:tc>
          <w:tcPr>
            <w:tcW w:type="dxa" w:w="2340"/>
            <w:shd w:fill="F7FAFC"/>
            <w:tcMar>
              <w:top w:w="60" w:type="dxa"/>
              <w:bottom w:w="60" w:type="dxa"/>
              <w:left w:w="80" w:type="dxa"/>
              <w:right w:w="80" w:type="dxa"/>
            </w:tcMar>
          </w:tcPr>
          <w:p>
            <w:pPr>
              <w:spacing w:after="0"/>
            </w:pPr>
            <w:r>
              <w:rPr>
                <w:rFonts w:ascii="Calibri" w:hAnsi="Calibri"/>
                <w:b/>
                <w:color w:val="1B365D"/>
                <w:sz w:val="17"/>
              </w:rPr>
              <w:t>Monthly Subscription</w:t>
            </w:r>
          </w:p>
        </w:tc>
        <w:tc>
          <w:tcPr>
            <w:tcW w:type="dxa" w:w="2340"/>
            <w:shd w:fill="F7FAFC"/>
            <w:tcMar>
              <w:top w:w="60" w:type="dxa"/>
              <w:bottom w:w="60" w:type="dxa"/>
              <w:left w:w="80" w:type="dxa"/>
              <w:right w:w="80" w:type="dxa"/>
            </w:tcMar>
          </w:tcPr>
          <w:p>
            <w:pPr>
              <w:spacing w:after="0"/>
            </w:pPr>
            <w:r>
              <w:rPr>
                <w:rFonts w:ascii="Calibri" w:hAnsi="Calibri"/>
                <w:color w:val="2D3748"/>
                <w:sz w:val="17"/>
              </w:rPr>
              <w:t>₹2,999 / month</w:t>
            </w:r>
          </w:p>
        </w:tc>
        <w:tc>
          <w:tcPr>
            <w:tcW w:type="dxa" w:w="2340"/>
            <w:shd w:fill="F7FAFC"/>
            <w:tcMar>
              <w:top w:w="60" w:type="dxa"/>
              <w:bottom w:w="60" w:type="dxa"/>
              <w:left w:w="80" w:type="dxa"/>
              <w:right w:w="80" w:type="dxa"/>
            </w:tcMar>
          </w:tcPr>
          <w:p>
            <w:pPr>
              <w:spacing w:after="0"/>
            </w:pPr>
            <w:r>
              <w:rPr>
                <w:rFonts w:ascii="Calibri" w:hAnsi="Calibri"/>
                <w:b/>
                <w:color w:val="0D9488"/>
                <w:sz w:val="17"/>
              </w:rPr>
              <w:t>₹6,999 / month (Recommended)</w:t>
            </w:r>
          </w:p>
        </w:tc>
        <w:tc>
          <w:tcPr>
            <w:tcW w:type="dxa" w:w="2340"/>
            <w:shd w:fill="F7FAFC"/>
            <w:tcMar>
              <w:top w:w="60" w:type="dxa"/>
              <w:bottom w:w="60" w:type="dxa"/>
              <w:left w:w="80" w:type="dxa"/>
              <w:right w:w="80" w:type="dxa"/>
            </w:tcMar>
          </w:tcPr>
          <w:p>
            <w:pPr>
              <w:spacing w:after="0"/>
            </w:pPr>
            <w:r>
              <w:rPr>
                <w:rFonts w:ascii="Calibri" w:hAnsi="Calibri"/>
                <w:color w:val="2D3748"/>
                <w:sz w:val="17"/>
              </w:rPr>
              <w:t>₹14,999 / month</w:t>
            </w:r>
          </w:p>
        </w:tc>
      </w:tr>
      <w:tr>
        <w:tc>
          <w:tcPr>
            <w:tcW w:type="dxa" w:w="2340"/>
            <w:shd w:fill="FFFFFF"/>
            <w:tcMar>
              <w:top w:w="60" w:type="dxa"/>
              <w:bottom w:w="60" w:type="dxa"/>
              <w:left w:w="80" w:type="dxa"/>
              <w:right w:w="80" w:type="dxa"/>
            </w:tcMar>
          </w:tcPr>
          <w:p>
            <w:pPr>
              <w:spacing w:after="0"/>
            </w:pPr>
            <w:r>
              <w:rPr>
                <w:rFonts w:ascii="Calibri" w:hAnsi="Calibri"/>
                <w:b/>
                <w:color w:val="1B365D"/>
                <w:sz w:val="17"/>
              </w:rPr>
              <w:t>Annual Pricing</w:t>
            </w:r>
          </w:p>
        </w:tc>
        <w:tc>
          <w:tcPr>
            <w:tcW w:type="dxa" w:w="2340"/>
            <w:shd w:fill="FFFFFF"/>
            <w:tcMar>
              <w:top w:w="60" w:type="dxa"/>
              <w:bottom w:w="60" w:type="dxa"/>
              <w:left w:w="80" w:type="dxa"/>
              <w:right w:w="80" w:type="dxa"/>
            </w:tcMar>
          </w:tcPr>
          <w:p>
            <w:pPr>
              <w:spacing w:after="0"/>
            </w:pPr>
            <w:r>
              <w:rPr>
                <w:rFonts w:ascii="Calibri" w:hAnsi="Calibri"/>
                <w:color w:val="2D3748"/>
                <w:sz w:val="17"/>
              </w:rPr>
              <w:t>₹36,000 / year</w:t>
            </w:r>
          </w:p>
        </w:tc>
        <w:tc>
          <w:tcPr>
            <w:tcW w:type="dxa" w:w="2340"/>
            <w:shd w:fill="FFFFFF"/>
            <w:tcMar>
              <w:top w:w="60" w:type="dxa"/>
              <w:bottom w:w="60" w:type="dxa"/>
              <w:left w:w="80" w:type="dxa"/>
              <w:right w:w="80" w:type="dxa"/>
            </w:tcMar>
          </w:tcPr>
          <w:p>
            <w:pPr>
              <w:spacing w:after="0"/>
            </w:pPr>
            <w:r>
              <w:rPr>
                <w:rFonts w:ascii="Calibri" w:hAnsi="Calibri"/>
                <w:b/>
                <w:color w:val="0D9488"/>
                <w:sz w:val="17"/>
              </w:rPr>
              <w:t>₹84,000 / year</w:t>
            </w:r>
          </w:p>
        </w:tc>
        <w:tc>
          <w:tcPr>
            <w:tcW w:type="dxa" w:w="2340"/>
            <w:shd w:fill="FFFFFF"/>
            <w:tcMar>
              <w:top w:w="60" w:type="dxa"/>
              <w:bottom w:w="60" w:type="dxa"/>
              <w:left w:w="80" w:type="dxa"/>
              <w:right w:w="80" w:type="dxa"/>
            </w:tcMar>
          </w:tcPr>
          <w:p>
            <w:pPr>
              <w:spacing w:after="0"/>
            </w:pPr>
            <w:r>
              <w:rPr>
                <w:rFonts w:ascii="Calibri" w:hAnsi="Calibri"/>
                <w:color w:val="2D3748"/>
                <w:sz w:val="17"/>
              </w:rPr>
              <w:t>₹1,80,000 / year</w:t>
            </w:r>
          </w:p>
        </w:tc>
      </w:tr>
      <w:tr>
        <w:tc>
          <w:tcPr>
            <w:tcW w:type="dxa" w:w="2340"/>
            <w:shd w:fill="F7FAFC"/>
            <w:tcMar>
              <w:top w:w="60" w:type="dxa"/>
              <w:bottom w:w="60" w:type="dxa"/>
              <w:left w:w="80" w:type="dxa"/>
              <w:right w:w="80" w:type="dxa"/>
            </w:tcMar>
          </w:tcPr>
          <w:p>
            <w:pPr>
              <w:spacing w:after="0"/>
            </w:pPr>
            <w:r>
              <w:rPr>
                <w:rFonts w:ascii="Calibri" w:hAnsi="Calibri"/>
                <w:b/>
                <w:color w:val="1B365D"/>
                <w:sz w:val="17"/>
              </w:rPr>
              <w:t>Included Capacity</w:t>
            </w:r>
          </w:p>
        </w:tc>
        <w:tc>
          <w:tcPr>
            <w:tcW w:type="dxa" w:w="2340"/>
            <w:shd w:fill="F7FAFC"/>
            <w:tcMar>
              <w:top w:w="60" w:type="dxa"/>
              <w:bottom w:w="60" w:type="dxa"/>
              <w:left w:w="80" w:type="dxa"/>
              <w:right w:w="80" w:type="dxa"/>
            </w:tcMar>
          </w:tcPr>
          <w:p>
            <w:pPr>
              <w:spacing w:after="0"/>
            </w:pPr>
            <w:r>
              <w:rPr>
                <w:rFonts w:ascii="Calibri" w:hAnsi="Calibri"/>
                <w:color w:val="2D3748"/>
                <w:sz w:val="17"/>
              </w:rPr>
              <w:t>Up to 3 WhatsApp lines</w:t>
              <w:br/>
              <w:t>2,500 AI Inbound Msgs/mo</w:t>
              <w:br/>
              <w:t>Basic Order Extraction</w:t>
            </w:r>
          </w:p>
        </w:tc>
        <w:tc>
          <w:tcPr>
            <w:tcW w:type="dxa" w:w="2340"/>
            <w:shd w:fill="F7FAFC"/>
            <w:tcMar>
              <w:top w:w="60" w:type="dxa"/>
              <w:bottom w:w="60" w:type="dxa"/>
              <w:left w:w="80" w:type="dxa"/>
              <w:right w:w="80" w:type="dxa"/>
            </w:tcMar>
          </w:tcPr>
          <w:p>
            <w:pPr>
              <w:spacing w:after="0"/>
            </w:pPr>
            <w:r>
              <w:rPr>
                <w:rFonts w:ascii="Calibri" w:hAnsi="Calibri"/>
                <w:b/>
                <w:color w:val="0D9488"/>
                <w:sz w:val="17"/>
              </w:rPr>
              <w:t>Up to 8 WhatsApp lines</w:t>
              <w:br/>
              <w:t>10,000 AI Inbound Msgs/mo</w:t>
              <w:br/>
              <w:t>Full Tool Bus &amp; Owner Pulse</w:t>
            </w:r>
          </w:p>
        </w:tc>
        <w:tc>
          <w:tcPr>
            <w:tcW w:type="dxa" w:w="2340"/>
            <w:shd w:fill="F7FAFC"/>
            <w:tcMar>
              <w:top w:w="60" w:type="dxa"/>
              <w:bottom w:w="60" w:type="dxa"/>
              <w:left w:w="80" w:type="dxa"/>
              <w:right w:w="80" w:type="dxa"/>
            </w:tcMar>
          </w:tcPr>
          <w:p>
            <w:pPr>
              <w:spacing w:after="0"/>
            </w:pPr>
            <w:r>
              <w:rPr>
                <w:rFonts w:ascii="Calibri" w:hAnsi="Calibri"/>
                <w:color w:val="2D3748"/>
                <w:sz w:val="17"/>
              </w:rPr>
              <w:t>Up to 20 WhatsApp lines</w:t>
              <w:br/>
              <w:t>30,000 AI Inbound Msgs/mo</w:t>
              <w:br/>
              <w:t>Voice STT &amp; Tally Two-Way Sync</w:t>
            </w:r>
          </w:p>
        </w:tc>
      </w:tr>
    </w:tbl>
    <w:p>
      <w:pPr>
        <w:spacing w:after="120"/>
      </w:pPr>
    </w:p>
    <w:p>
      <w:pPr>
        <w:pStyle w:val="Heading1"/>
        <w:spacing w:before="280" w:after="120"/>
      </w:pPr>
      <w:r>
        <w:rPr>
          <w:rFonts w:ascii="Arial" w:hAnsi="Arial"/>
          <w:color w:val="1B365D"/>
          <w:sz w:val="32"/>
        </w:rPr>
        <w:t>7. Financial Model, Unit Economics &amp; 3-Year P&amp;L</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608"/>
        <w:gridCol w:w="2592"/>
        <w:gridCol w:w="2160"/>
      </w:tblGrid>
      <w:tr>
        <w:tc>
          <w:tcPr>
            <w:tcW w:type="dxa" w:w="3120"/>
            <w:shd w:fill="1B365D"/>
            <w:tcMar>
              <w:top w:w="80" w:type="dxa"/>
              <w:bottom w:w="80" w:type="dxa"/>
              <w:left w:w="80" w:type="dxa"/>
              <w:right w:w="80" w:type="dxa"/>
            </w:tcMar>
          </w:tcPr>
          <w:p>
            <w:pPr>
              <w:spacing w:after="0"/>
            </w:pPr>
            <w:r>
              <w:rPr>
                <w:rFonts w:ascii="Calibri" w:hAnsi="Calibri"/>
                <w:b/>
                <w:color w:val="FFFFFF"/>
                <w:sz w:val="18"/>
              </w:rPr>
              <w:t>P&amp;L Component</w:t>
            </w:r>
          </w:p>
        </w:tc>
        <w:tc>
          <w:tcPr>
            <w:tcW w:type="dxa" w:w="3120"/>
            <w:shd w:fill="1B365D"/>
            <w:tcMar>
              <w:top w:w="80" w:type="dxa"/>
              <w:bottom w:w="80" w:type="dxa"/>
              <w:left w:w="80" w:type="dxa"/>
              <w:right w:w="80" w:type="dxa"/>
            </w:tcMar>
          </w:tcPr>
          <w:p>
            <w:pPr>
              <w:spacing w:after="0"/>
            </w:pPr>
            <w:r>
              <w:rPr>
                <w:rFonts w:ascii="Calibri" w:hAnsi="Calibri"/>
                <w:b/>
                <w:color w:val="FFFFFF"/>
                <w:sz w:val="18"/>
              </w:rPr>
              <w:t>Monthly Cost / Revenue (INR)</w:t>
            </w:r>
          </w:p>
        </w:tc>
        <w:tc>
          <w:tcPr>
            <w:tcW w:type="dxa" w:w="3120"/>
            <w:shd w:fill="1B365D"/>
            <w:tcMar>
              <w:top w:w="80" w:type="dxa"/>
              <w:bottom w:w="80" w:type="dxa"/>
              <w:left w:w="80" w:type="dxa"/>
              <w:right w:w="80" w:type="dxa"/>
            </w:tcMar>
          </w:tcPr>
          <w:p>
            <w:pPr>
              <w:spacing w:after="0"/>
            </w:pPr>
            <w:r>
              <w:rPr>
                <w:rFonts w:ascii="Calibri" w:hAnsi="Calibri"/>
                <w:b/>
                <w:color w:val="FFFFFF"/>
                <w:sz w:val="18"/>
              </w:rPr>
              <w:t>% of Total Revenue</w:t>
            </w:r>
          </w:p>
        </w:tc>
      </w:tr>
      <w:tr>
        <w:tc>
          <w:tcPr>
            <w:tcW w:type="dxa" w:w="3120"/>
            <w:shd w:fill="F7FAFC"/>
            <w:tcMar>
              <w:top w:w="60" w:type="dxa"/>
              <w:bottom w:w="60" w:type="dxa"/>
              <w:left w:w="80" w:type="dxa"/>
              <w:right w:w="80" w:type="dxa"/>
            </w:tcMar>
          </w:tcPr>
          <w:p>
            <w:pPr>
              <w:spacing w:after="0"/>
            </w:pPr>
            <w:r>
              <w:rPr>
                <w:rFonts w:ascii="Calibri" w:hAnsi="Calibri"/>
                <w:b/>
                <w:color w:val="1B365D"/>
                <w:sz w:val="17"/>
              </w:rPr>
              <w:t>Gross Monthly Subscription Revenue (ARPU)</w:t>
            </w:r>
          </w:p>
        </w:tc>
        <w:tc>
          <w:tcPr>
            <w:tcW w:type="dxa" w:w="3120"/>
            <w:shd w:fill="F7FAFC"/>
            <w:tcMar>
              <w:top w:w="60" w:type="dxa"/>
              <w:bottom w:w="60" w:type="dxa"/>
              <w:left w:w="80" w:type="dxa"/>
              <w:right w:w="80" w:type="dxa"/>
            </w:tcMar>
          </w:tcPr>
          <w:p>
            <w:pPr>
              <w:spacing w:after="0"/>
            </w:pPr>
            <w:r>
              <w:rPr>
                <w:rFonts w:ascii="Calibri" w:hAnsi="Calibri"/>
                <w:color w:val="2D3748"/>
                <w:sz w:val="17"/>
              </w:rPr>
              <w:t>₹6,999.00</w:t>
            </w:r>
          </w:p>
        </w:tc>
        <w:tc>
          <w:tcPr>
            <w:tcW w:type="dxa" w:w="3120"/>
            <w:shd w:fill="F7FAFC"/>
            <w:tcMar>
              <w:top w:w="60" w:type="dxa"/>
              <w:bottom w:w="60" w:type="dxa"/>
              <w:left w:w="80" w:type="dxa"/>
              <w:right w:w="80" w:type="dxa"/>
            </w:tcMar>
          </w:tcPr>
          <w:p>
            <w:pPr>
              <w:spacing w:after="0"/>
            </w:pPr>
            <w:r>
              <w:rPr>
                <w:rFonts w:ascii="Calibri" w:hAnsi="Calibri"/>
                <w:color w:val="2D3748"/>
                <w:sz w:val="17"/>
              </w:rPr>
              <w:t>100.0%</w:t>
            </w:r>
          </w:p>
        </w:tc>
      </w:tr>
      <w:tr>
        <w:tc>
          <w:tcPr>
            <w:tcW w:type="dxa" w:w="3120"/>
            <w:shd w:fill="FFFFFF"/>
            <w:tcMar>
              <w:top w:w="60" w:type="dxa"/>
              <w:bottom w:w="60" w:type="dxa"/>
              <w:left w:w="80" w:type="dxa"/>
              <w:right w:w="80" w:type="dxa"/>
            </w:tcMar>
          </w:tcPr>
          <w:p>
            <w:pPr>
              <w:spacing w:after="0"/>
            </w:pPr>
            <w:r>
              <w:rPr>
                <w:rFonts w:ascii="Calibri" w:hAnsi="Calibri"/>
                <w:b/>
                <w:color w:val="1B365D"/>
                <w:sz w:val="17"/>
              </w:rPr>
              <w:t>Less: GCP Cloud Run &amp; PostgreSQL Allocation</w:t>
            </w:r>
          </w:p>
        </w:tc>
        <w:tc>
          <w:tcPr>
            <w:tcW w:type="dxa" w:w="3120"/>
            <w:shd w:fill="FFFFFF"/>
            <w:tcMar>
              <w:top w:w="60" w:type="dxa"/>
              <w:bottom w:w="60" w:type="dxa"/>
              <w:left w:w="80" w:type="dxa"/>
              <w:right w:w="80" w:type="dxa"/>
            </w:tcMar>
          </w:tcPr>
          <w:p>
            <w:pPr>
              <w:spacing w:after="0"/>
            </w:pPr>
            <w:r>
              <w:rPr>
                <w:rFonts w:ascii="Calibri" w:hAnsi="Calibri"/>
                <w:color w:val="2D3748"/>
                <w:sz w:val="17"/>
              </w:rPr>
              <w:t>(₹280.00)</w:t>
            </w:r>
          </w:p>
        </w:tc>
        <w:tc>
          <w:tcPr>
            <w:tcW w:type="dxa" w:w="3120"/>
            <w:shd w:fill="FFFFFF"/>
            <w:tcMar>
              <w:top w:w="60" w:type="dxa"/>
              <w:bottom w:w="60" w:type="dxa"/>
              <w:left w:w="80" w:type="dxa"/>
              <w:right w:w="80" w:type="dxa"/>
            </w:tcMar>
          </w:tcPr>
          <w:p>
            <w:pPr>
              <w:spacing w:after="0"/>
            </w:pPr>
            <w:r>
              <w:rPr>
                <w:rFonts w:ascii="Calibri" w:hAnsi="Calibri"/>
                <w:color w:val="2D3748"/>
                <w:sz w:val="17"/>
              </w:rPr>
              <w:t>4.0%</w:t>
            </w:r>
          </w:p>
        </w:tc>
      </w:tr>
      <w:tr>
        <w:tc>
          <w:tcPr>
            <w:tcW w:type="dxa" w:w="3120"/>
            <w:shd w:fill="F7FAFC"/>
            <w:tcMar>
              <w:top w:w="60" w:type="dxa"/>
              <w:bottom w:w="60" w:type="dxa"/>
              <w:left w:w="80" w:type="dxa"/>
              <w:right w:w="80" w:type="dxa"/>
            </w:tcMar>
          </w:tcPr>
          <w:p>
            <w:pPr>
              <w:spacing w:after="0"/>
            </w:pPr>
            <w:r>
              <w:rPr>
                <w:rFonts w:ascii="Calibri" w:hAnsi="Calibri"/>
                <w:b/>
                <w:color w:val="1B365D"/>
                <w:sz w:val="17"/>
              </w:rPr>
              <w:t>Less: Gemini Flash LLM Inference (8k msgs)</w:t>
            </w:r>
          </w:p>
        </w:tc>
        <w:tc>
          <w:tcPr>
            <w:tcW w:type="dxa" w:w="3120"/>
            <w:shd w:fill="F7FAFC"/>
            <w:tcMar>
              <w:top w:w="60" w:type="dxa"/>
              <w:bottom w:w="60" w:type="dxa"/>
              <w:left w:w="80" w:type="dxa"/>
              <w:right w:w="80" w:type="dxa"/>
            </w:tcMar>
          </w:tcPr>
          <w:p>
            <w:pPr>
              <w:spacing w:after="0"/>
            </w:pPr>
            <w:r>
              <w:rPr>
                <w:rFonts w:ascii="Calibri" w:hAnsi="Calibri"/>
                <w:color w:val="2D3748"/>
                <w:sz w:val="17"/>
              </w:rPr>
              <w:t>(₹320.00)</w:t>
            </w:r>
          </w:p>
        </w:tc>
        <w:tc>
          <w:tcPr>
            <w:tcW w:type="dxa" w:w="3120"/>
            <w:shd w:fill="F7FAFC"/>
            <w:tcMar>
              <w:top w:w="60" w:type="dxa"/>
              <w:bottom w:w="60" w:type="dxa"/>
              <w:left w:w="80" w:type="dxa"/>
              <w:right w:w="80" w:type="dxa"/>
            </w:tcMar>
          </w:tcPr>
          <w:p>
            <w:pPr>
              <w:spacing w:after="0"/>
            </w:pPr>
            <w:r>
              <w:rPr>
                <w:rFonts w:ascii="Calibri" w:hAnsi="Calibri"/>
                <w:color w:val="2D3748"/>
                <w:sz w:val="17"/>
              </w:rPr>
              <w:t>4.6%</w:t>
            </w:r>
          </w:p>
        </w:tc>
      </w:tr>
      <w:tr>
        <w:tc>
          <w:tcPr>
            <w:tcW w:type="dxa" w:w="3120"/>
            <w:shd w:fill="FFFFFF"/>
            <w:tcMar>
              <w:top w:w="60" w:type="dxa"/>
              <w:bottom w:w="60" w:type="dxa"/>
              <w:left w:w="80" w:type="dxa"/>
              <w:right w:w="80" w:type="dxa"/>
            </w:tcMar>
          </w:tcPr>
          <w:p>
            <w:pPr>
              <w:spacing w:after="0"/>
            </w:pPr>
            <w:r>
              <w:rPr>
                <w:rFonts w:ascii="Calibri" w:hAnsi="Calibri"/>
                <w:b/>
                <w:color w:val="1B365D"/>
                <w:sz w:val="17"/>
              </w:rPr>
              <w:t>Less: Logging, Monitoring &amp; Webhook Overhead</w:t>
            </w:r>
          </w:p>
        </w:tc>
        <w:tc>
          <w:tcPr>
            <w:tcW w:type="dxa" w:w="3120"/>
            <w:shd w:fill="FFFFFF"/>
            <w:tcMar>
              <w:top w:w="60" w:type="dxa"/>
              <w:bottom w:w="60" w:type="dxa"/>
              <w:left w:w="80" w:type="dxa"/>
              <w:right w:w="80" w:type="dxa"/>
            </w:tcMar>
          </w:tcPr>
          <w:p>
            <w:pPr>
              <w:spacing w:after="0"/>
            </w:pPr>
            <w:r>
              <w:rPr>
                <w:rFonts w:ascii="Calibri" w:hAnsi="Calibri"/>
                <w:color w:val="2D3748"/>
                <w:sz w:val="17"/>
              </w:rPr>
              <w:t>(₹115.00)</w:t>
            </w:r>
          </w:p>
        </w:tc>
        <w:tc>
          <w:tcPr>
            <w:tcW w:type="dxa" w:w="3120"/>
            <w:shd w:fill="FFFFFF"/>
            <w:tcMar>
              <w:top w:w="60" w:type="dxa"/>
              <w:bottom w:w="60" w:type="dxa"/>
              <w:left w:w="80" w:type="dxa"/>
              <w:right w:w="80" w:type="dxa"/>
            </w:tcMar>
          </w:tcPr>
          <w:p>
            <w:pPr>
              <w:spacing w:after="0"/>
            </w:pPr>
            <w:r>
              <w:rPr>
                <w:rFonts w:ascii="Calibri" w:hAnsi="Calibri"/>
                <w:color w:val="2D3748"/>
                <w:sz w:val="17"/>
              </w:rPr>
              <w:t>1.6%</w:t>
            </w:r>
          </w:p>
        </w:tc>
      </w:tr>
      <w:tr>
        <w:tc>
          <w:tcPr>
            <w:tcW w:type="dxa" w:w="3120"/>
            <w:shd w:fill="E6FFFA"/>
            <w:tcMar>
              <w:top w:w="60" w:type="dxa"/>
              <w:bottom w:w="60" w:type="dxa"/>
              <w:left w:w="80" w:type="dxa"/>
              <w:right w:w="80" w:type="dxa"/>
            </w:tcMar>
          </w:tcPr>
          <w:p>
            <w:pPr>
              <w:spacing w:after="0"/>
            </w:pPr>
            <w:r>
              <w:rPr>
                <w:rFonts w:ascii="Calibri" w:hAnsi="Calibri"/>
                <w:b/>
                <w:color w:val="0D9488"/>
                <w:sz w:val="17"/>
              </w:rPr>
              <w:t>NET CONTRIBUTION MARGIN (GROSS PROFIT)</w:t>
            </w:r>
          </w:p>
        </w:tc>
        <w:tc>
          <w:tcPr>
            <w:tcW w:type="dxa" w:w="3120"/>
            <w:shd w:fill="E6FFFA"/>
            <w:tcMar>
              <w:top w:w="60" w:type="dxa"/>
              <w:bottom w:w="60" w:type="dxa"/>
              <w:left w:w="80" w:type="dxa"/>
              <w:right w:w="80" w:type="dxa"/>
            </w:tcMar>
          </w:tcPr>
          <w:p>
            <w:pPr>
              <w:spacing w:after="0"/>
            </w:pPr>
            <w:r>
              <w:rPr>
                <w:rFonts w:ascii="Calibri" w:hAnsi="Calibri"/>
                <w:b/>
                <w:color w:val="0D9488"/>
                <w:sz w:val="17"/>
              </w:rPr>
              <w:t>₹6,284.00</w:t>
            </w:r>
          </w:p>
        </w:tc>
        <w:tc>
          <w:tcPr>
            <w:tcW w:type="dxa" w:w="3120"/>
            <w:shd w:fill="E6FFFA"/>
            <w:tcMar>
              <w:top w:w="60" w:type="dxa"/>
              <w:bottom w:w="60" w:type="dxa"/>
              <w:left w:w="80" w:type="dxa"/>
              <w:right w:w="80" w:type="dxa"/>
            </w:tcMar>
          </w:tcPr>
          <w:p>
            <w:pPr>
              <w:spacing w:after="0"/>
            </w:pPr>
            <w:r>
              <w:rPr>
                <w:rFonts w:ascii="Calibri" w:hAnsi="Calibri"/>
                <w:b/>
                <w:color w:val="0D9488"/>
                <w:sz w:val="17"/>
              </w:rPr>
              <w:t>89.8% (Exceptional)</w:t>
            </w:r>
          </w:p>
        </w:tc>
      </w:tr>
    </w:tbl>
    <w:p>
      <w:pPr>
        <w:spacing w:after="120"/>
      </w:pPr>
    </w:p>
    <w:p>
      <w:pPr>
        <w:pStyle w:val="Heading2"/>
        <w:spacing w:before="200" w:after="80"/>
      </w:pPr>
      <w:r>
        <w:rPr>
          <w:rFonts w:ascii="Arial" w:hAnsi="Arial"/>
          <w:color w:val="1B365D"/>
          <w:sz w:val="26"/>
        </w:rPr>
        <w:t>7.1 Three-Year Pro-Forma Income Statement (INR Lakhs)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68"/>
        <w:gridCol w:w="2016"/>
        <w:gridCol w:w="2016"/>
        <w:gridCol w:w="2160"/>
      </w:tblGrid>
      <w:tr>
        <w:tc>
          <w:tcPr>
            <w:tcW w:type="dxa" w:w="2340"/>
            <w:shd w:fill="1B365D"/>
            <w:tcMar>
              <w:top w:w="80" w:type="dxa"/>
              <w:bottom w:w="80" w:type="dxa"/>
              <w:left w:w="80" w:type="dxa"/>
              <w:right w:w="80" w:type="dxa"/>
            </w:tcMar>
          </w:tcPr>
          <w:p>
            <w:pPr>
              <w:spacing w:after="0"/>
            </w:pPr>
            <w:r>
              <w:rPr>
                <w:rFonts w:ascii="Calibri" w:hAnsi="Calibri"/>
                <w:b/>
                <w:color w:val="FFFFFF"/>
                <w:sz w:val="18"/>
              </w:rPr>
              <w:t>Financial Metric (INR Lakhs)</w:t>
            </w:r>
          </w:p>
        </w:tc>
        <w:tc>
          <w:tcPr>
            <w:tcW w:type="dxa" w:w="2340"/>
            <w:shd w:fill="1B365D"/>
            <w:tcMar>
              <w:top w:w="80" w:type="dxa"/>
              <w:bottom w:w="80" w:type="dxa"/>
              <w:left w:w="80" w:type="dxa"/>
              <w:right w:w="80" w:type="dxa"/>
            </w:tcMar>
          </w:tcPr>
          <w:p>
            <w:pPr>
              <w:spacing w:after="0"/>
            </w:pPr>
            <w:r>
              <w:rPr>
                <w:rFonts w:ascii="Calibri" w:hAnsi="Calibri"/>
                <w:b/>
                <w:color w:val="FFFFFF"/>
                <w:sz w:val="18"/>
              </w:rPr>
              <w:t>Year 1 (Jaipur)</w:t>
            </w:r>
          </w:p>
        </w:tc>
        <w:tc>
          <w:tcPr>
            <w:tcW w:type="dxa" w:w="2340"/>
            <w:shd w:fill="1B365D"/>
            <w:tcMar>
              <w:top w:w="80" w:type="dxa"/>
              <w:bottom w:w="80" w:type="dxa"/>
              <w:left w:w="80" w:type="dxa"/>
              <w:right w:w="80" w:type="dxa"/>
            </w:tcMar>
          </w:tcPr>
          <w:p>
            <w:pPr>
              <w:spacing w:after="0"/>
            </w:pPr>
            <w:r>
              <w:rPr>
                <w:rFonts w:ascii="Calibri" w:hAnsi="Calibri"/>
                <w:b/>
                <w:color w:val="FFFFFF"/>
                <w:sz w:val="18"/>
              </w:rPr>
              <w:t>Year 2 (Rajasthan/NCR)</w:t>
            </w:r>
          </w:p>
        </w:tc>
        <w:tc>
          <w:tcPr>
            <w:tcW w:type="dxa" w:w="2340"/>
            <w:shd w:fill="1B365D"/>
            <w:tcMar>
              <w:top w:w="80" w:type="dxa"/>
              <w:bottom w:w="80" w:type="dxa"/>
              <w:left w:w="80" w:type="dxa"/>
              <w:right w:w="80" w:type="dxa"/>
            </w:tcMar>
          </w:tcPr>
          <w:p>
            <w:pPr>
              <w:spacing w:after="0"/>
            </w:pPr>
            <w:r>
              <w:rPr>
                <w:rFonts w:ascii="Calibri" w:hAnsi="Calibri"/>
                <w:b/>
                <w:color w:val="FFFFFF"/>
                <w:sz w:val="18"/>
              </w:rPr>
              <w:t>Year 3 (National Scale)</w:t>
            </w:r>
          </w:p>
        </w:tc>
      </w:tr>
      <w:tr>
        <w:tc>
          <w:tcPr>
            <w:tcW w:type="dxa" w:w="2340"/>
            <w:shd w:fill="F7FAFC"/>
            <w:tcMar>
              <w:top w:w="60" w:type="dxa"/>
              <w:bottom w:w="60" w:type="dxa"/>
              <w:left w:w="80" w:type="dxa"/>
              <w:right w:w="80" w:type="dxa"/>
            </w:tcMar>
          </w:tcPr>
          <w:p>
            <w:pPr>
              <w:spacing w:after="0"/>
            </w:pPr>
            <w:r>
              <w:rPr>
                <w:rFonts w:ascii="Calibri" w:hAnsi="Calibri"/>
                <w:color w:val="1B365D"/>
                <w:sz w:val="17"/>
              </w:rPr>
              <w:t>Active Paying Tenants (Exit)</w:t>
            </w:r>
          </w:p>
        </w:tc>
        <w:tc>
          <w:tcPr>
            <w:tcW w:type="dxa" w:w="2340"/>
            <w:shd w:fill="F7FAFC"/>
            <w:tcMar>
              <w:top w:w="60" w:type="dxa"/>
              <w:bottom w:w="60" w:type="dxa"/>
              <w:left w:w="80" w:type="dxa"/>
              <w:right w:w="80" w:type="dxa"/>
            </w:tcMar>
          </w:tcPr>
          <w:p>
            <w:pPr>
              <w:spacing w:after="0"/>
            </w:pPr>
            <w:r>
              <w:rPr>
                <w:rFonts w:ascii="Calibri" w:hAnsi="Calibri"/>
                <w:color w:val="2D3748"/>
                <w:sz w:val="17"/>
              </w:rPr>
              <w:t>50 Tenants</w:t>
            </w:r>
          </w:p>
        </w:tc>
        <w:tc>
          <w:tcPr>
            <w:tcW w:type="dxa" w:w="2340"/>
            <w:shd w:fill="F7FAFC"/>
            <w:tcMar>
              <w:top w:w="60" w:type="dxa"/>
              <w:bottom w:w="60" w:type="dxa"/>
              <w:left w:w="80" w:type="dxa"/>
              <w:right w:w="80" w:type="dxa"/>
            </w:tcMar>
          </w:tcPr>
          <w:p>
            <w:pPr>
              <w:spacing w:after="0"/>
            </w:pPr>
            <w:r>
              <w:rPr>
                <w:rFonts w:ascii="Calibri" w:hAnsi="Calibri"/>
                <w:color w:val="2D3748"/>
                <w:sz w:val="17"/>
              </w:rPr>
              <w:t>250 Tenants</w:t>
            </w:r>
          </w:p>
        </w:tc>
        <w:tc>
          <w:tcPr>
            <w:tcW w:type="dxa" w:w="2340"/>
            <w:shd w:fill="F7FAFC"/>
            <w:tcMar>
              <w:top w:w="60" w:type="dxa"/>
              <w:bottom w:w="60" w:type="dxa"/>
              <w:left w:w="80" w:type="dxa"/>
              <w:right w:w="80" w:type="dxa"/>
            </w:tcMar>
          </w:tcPr>
          <w:p>
            <w:pPr>
              <w:spacing w:after="0"/>
            </w:pPr>
            <w:r>
              <w:rPr>
                <w:rFonts w:ascii="Calibri" w:hAnsi="Calibri"/>
                <w:color w:val="2D3748"/>
                <w:sz w:val="17"/>
              </w:rPr>
              <w:t>1,000 Tenants</w:t>
            </w:r>
          </w:p>
        </w:tc>
      </w:tr>
      <w:tr>
        <w:tc>
          <w:tcPr>
            <w:tcW w:type="dxa" w:w="2340"/>
            <w:shd w:fill="FFFFFF"/>
            <w:tcMar>
              <w:top w:w="60" w:type="dxa"/>
              <w:bottom w:w="60" w:type="dxa"/>
              <w:left w:w="80" w:type="dxa"/>
              <w:right w:w="80" w:type="dxa"/>
            </w:tcMar>
          </w:tcPr>
          <w:p>
            <w:pPr>
              <w:spacing w:after="0"/>
            </w:pPr>
            <w:r>
              <w:rPr>
                <w:rFonts w:ascii="Calibri" w:hAnsi="Calibri"/>
                <w:color w:val="1B365D"/>
                <w:sz w:val="17"/>
              </w:rPr>
              <w:t>Average Monthly ARPU</w:t>
            </w:r>
          </w:p>
        </w:tc>
        <w:tc>
          <w:tcPr>
            <w:tcW w:type="dxa" w:w="2340"/>
            <w:shd w:fill="FFFFFF"/>
            <w:tcMar>
              <w:top w:w="60" w:type="dxa"/>
              <w:bottom w:w="60" w:type="dxa"/>
              <w:left w:w="80" w:type="dxa"/>
              <w:right w:w="80" w:type="dxa"/>
            </w:tcMar>
          </w:tcPr>
          <w:p>
            <w:pPr>
              <w:spacing w:after="0"/>
            </w:pPr>
            <w:r>
              <w:rPr>
                <w:rFonts w:ascii="Calibri" w:hAnsi="Calibri"/>
                <w:color w:val="2D3748"/>
                <w:sz w:val="17"/>
              </w:rPr>
              <w:t>₹5,800</w:t>
            </w:r>
          </w:p>
        </w:tc>
        <w:tc>
          <w:tcPr>
            <w:tcW w:type="dxa" w:w="2340"/>
            <w:shd w:fill="FFFFFF"/>
            <w:tcMar>
              <w:top w:w="60" w:type="dxa"/>
              <w:bottom w:w="60" w:type="dxa"/>
              <w:left w:w="80" w:type="dxa"/>
              <w:right w:w="80" w:type="dxa"/>
            </w:tcMar>
          </w:tcPr>
          <w:p>
            <w:pPr>
              <w:spacing w:after="0"/>
            </w:pPr>
            <w:r>
              <w:rPr>
                <w:rFonts w:ascii="Calibri" w:hAnsi="Calibri"/>
                <w:color w:val="2D3748"/>
                <w:sz w:val="17"/>
              </w:rPr>
              <w:t>₹6,400</w:t>
            </w:r>
          </w:p>
        </w:tc>
        <w:tc>
          <w:tcPr>
            <w:tcW w:type="dxa" w:w="2340"/>
            <w:shd w:fill="FFFFFF"/>
            <w:tcMar>
              <w:top w:w="60" w:type="dxa"/>
              <w:bottom w:w="60" w:type="dxa"/>
              <w:left w:w="80" w:type="dxa"/>
              <w:right w:w="80" w:type="dxa"/>
            </w:tcMar>
          </w:tcPr>
          <w:p>
            <w:pPr>
              <w:spacing w:after="0"/>
            </w:pPr>
            <w:r>
              <w:rPr>
                <w:rFonts w:ascii="Calibri" w:hAnsi="Calibri"/>
                <w:color w:val="2D3748"/>
                <w:sz w:val="17"/>
              </w:rPr>
              <w:t>₹7,100</w:t>
            </w:r>
          </w:p>
        </w:tc>
      </w:tr>
      <w:tr>
        <w:tc>
          <w:tcPr>
            <w:tcW w:type="dxa" w:w="2340"/>
            <w:shd w:fill="F7FAFC"/>
            <w:tcMar>
              <w:top w:w="60" w:type="dxa"/>
              <w:bottom w:w="60" w:type="dxa"/>
              <w:left w:w="80" w:type="dxa"/>
              <w:right w:w="80" w:type="dxa"/>
            </w:tcMar>
          </w:tcPr>
          <w:p>
            <w:pPr>
              <w:spacing w:after="0"/>
            </w:pPr>
            <w:r>
              <w:rPr>
                <w:rFonts w:ascii="Calibri" w:hAnsi="Calibri"/>
                <w:b/>
                <w:color w:val="1B365D"/>
                <w:sz w:val="17"/>
              </w:rPr>
              <w:t>GROSS ANNUAL REVENUE</w:t>
            </w:r>
          </w:p>
        </w:tc>
        <w:tc>
          <w:tcPr>
            <w:tcW w:type="dxa" w:w="2340"/>
            <w:shd w:fill="F7FAFC"/>
            <w:tcMar>
              <w:top w:w="60" w:type="dxa"/>
              <w:bottom w:w="60" w:type="dxa"/>
              <w:left w:w="80" w:type="dxa"/>
              <w:right w:w="80" w:type="dxa"/>
            </w:tcMar>
          </w:tcPr>
          <w:p>
            <w:pPr>
              <w:spacing w:after="0"/>
            </w:pPr>
            <w:r>
              <w:rPr>
                <w:rFonts w:ascii="Calibri" w:hAnsi="Calibri"/>
                <w:b/>
                <w:color w:val="2D3748"/>
                <w:sz w:val="17"/>
              </w:rPr>
              <w:t>₹24.36 Lakhs</w:t>
            </w:r>
          </w:p>
        </w:tc>
        <w:tc>
          <w:tcPr>
            <w:tcW w:type="dxa" w:w="2340"/>
            <w:shd w:fill="F7FAFC"/>
            <w:tcMar>
              <w:top w:w="60" w:type="dxa"/>
              <w:bottom w:w="60" w:type="dxa"/>
              <w:left w:w="80" w:type="dxa"/>
              <w:right w:w="80" w:type="dxa"/>
            </w:tcMar>
          </w:tcPr>
          <w:p>
            <w:pPr>
              <w:spacing w:after="0"/>
            </w:pPr>
            <w:r>
              <w:rPr>
                <w:rFonts w:ascii="Calibri" w:hAnsi="Calibri"/>
                <w:b/>
                <w:color w:val="2D3748"/>
                <w:sz w:val="17"/>
              </w:rPr>
              <w:t>₹134.40 Lakhs</w:t>
            </w:r>
          </w:p>
        </w:tc>
        <w:tc>
          <w:tcPr>
            <w:tcW w:type="dxa" w:w="2340"/>
            <w:shd w:fill="F7FAFC"/>
            <w:tcMar>
              <w:top w:w="60" w:type="dxa"/>
              <w:bottom w:w="60" w:type="dxa"/>
              <w:left w:w="80" w:type="dxa"/>
              <w:right w:w="80" w:type="dxa"/>
            </w:tcMar>
          </w:tcPr>
          <w:p>
            <w:pPr>
              <w:spacing w:after="0"/>
            </w:pPr>
            <w:r>
              <w:rPr>
                <w:rFonts w:ascii="Calibri" w:hAnsi="Calibri"/>
                <w:b/>
                <w:color w:val="2D3748"/>
                <w:sz w:val="17"/>
              </w:rPr>
              <w:t>₹639.00 Lakhs</w:t>
            </w:r>
          </w:p>
        </w:tc>
      </w:tr>
      <w:tr>
        <w:tc>
          <w:tcPr>
            <w:tcW w:type="dxa" w:w="2340"/>
            <w:shd w:fill="FFFFFF"/>
            <w:tcMar>
              <w:top w:w="60" w:type="dxa"/>
              <w:bottom w:w="60" w:type="dxa"/>
              <w:left w:w="80" w:type="dxa"/>
              <w:right w:w="80" w:type="dxa"/>
            </w:tcMar>
          </w:tcPr>
          <w:p>
            <w:pPr>
              <w:spacing w:after="0"/>
            </w:pPr>
            <w:r>
              <w:rPr>
                <w:rFonts w:ascii="Calibri" w:hAnsi="Calibri"/>
                <w:color w:val="1B365D"/>
                <w:sz w:val="17"/>
              </w:rPr>
              <w:t>Total Direct Hosting &amp; AI COGS</w:t>
            </w:r>
          </w:p>
        </w:tc>
        <w:tc>
          <w:tcPr>
            <w:tcW w:type="dxa" w:w="2340"/>
            <w:shd w:fill="FFFFFF"/>
            <w:tcMar>
              <w:top w:w="60" w:type="dxa"/>
              <w:bottom w:w="60" w:type="dxa"/>
              <w:left w:w="80" w:type="dxa"/>
              <w:right w:w="80" w:type="dxa"/>
            </w:tcMar>
          </w:tcPr>
          <w:p>
            <w:pPr>
              <w:spacing w:after="0"/>
            </w:pPr>
            <w:r>
              <w:rPr>
                <w:rFonts w:ascii="Calibri" w:hAnsi="Calibri"/>
                <w:color w:val="2D3748"/>
                <w:sz w:val="17"/>
              </w:rPr>
              <w:t>(₹2.92 Lakhs)</w:t>
            </w:r>
          </w:p>
        </w:tc>
        <w:tc>
          <w:tcPr>
            <w:tcW w:type="dxa" w:w="2340"/>
            <w:shd w:fill="FFFFFF"/>
            <w:tcMar>
              <w:top w:w="60" w:type="dxa"/>
              <w:bottom w:w="60" w:type="dxa"/>
              <w:left w:w="80" w:type="dxa"/>
              <w:right w:w="80" w:type="dxa"/>
            </w:tcMar>
          </w:tcPr>
          <w:p>
            <w:pPr>
              <w:spacing w:after="0"/>
            </w:pPr>
            <w:r>
              <w:rPr>
                <w:rFonts w:ascii="Calibri" w:hAnsi="Calibri"/>
                <w:color w:val="2D3748"/>
                <w:sz w:val="17"/>
              </w:rPr>
              <w:t>(₹14.78 Lakhs)</w:t>
            </w:r>
          </w:p>
        </w:tc>
        <w:tc>
          <w:tcPr>
            <w:tcW w:type="dxa" w:w="2340"/>
            <w:shd w:fill="FFFFFF"/>
            <w:tcMar>
              <w:top w:w="60" w:type="dxa"/>
              <w:bottom w:w="60" w:type="dxa"/>
              <w:left w:w="80" w:type="dxa"/>
              <w:right w:w="80" w:type="dxa"/>
            </w:tcMar>
          </w:tcPr>
          <w:p>
            <w:pPr>
              <w:spacing w:after="0"/>
            </w:pPr>
            <w:r>
              <w:rPr>
                <w:rFonts w:ascii="Calibri" w:hAnsi="Calibri"/>
                <w:color w:val="2D3748"/>
                <w:sz w:val="17"/>
              </w:rPr>
              <w:t>(₹70.29 Lakhs)</w:t>
            </w:r>
          </w:p>
        </w:tc>
      </w:tr>
      <w:tr>
        <w:tc>
          <w:tcPr>
            <w:tcW w:type="dxa" w:w="2340"/>
            <w:shd w:fill="F7FAFC"/>
            <w:tcMar>
              <w:top w:w="60" w:type="dxa"/>
              <w:bottom w:w="60" w:type="dxa"/>
              <w:left w:w="80" w:type="dxa"/>
              <w:right w:w="80" w:type="dxa"/>
            </w:tcMar>
          </w:tcPr>
          <w:p>
            <w:pPr>
              <w:spacing w:after="0"/>
            </w:pPr>
            <w:r>
              <w:rPr>
                <w:rFonts w:ascii="Calibri" w:hAnsi="Calibri"/>
                <w:b/>
                <w:color w:val="1B365D"/>
                <w:sz w:val="17"/>
              </w:rPr>
              <w:t>GROSS PROFIT (Margin %)</w:t>
            </w:r>
          </w:p>
        </w:tc>
        <w:tc>
          <w:tcPr>
            <w:tcW w:type="dxa" w:w="2340"/>
            <w:shd w:fill="F7FAFC"/>
            <w:tcMar>
              <w:top w:w="60" w:type="dxa"/>
              <w:bottom w:w="60" w:type="dxa"/>
              <w:left w:w="80" w:type="dxa"/>
              <w:right w:w="80" w:type="dxa"/>
            </w:tcMar>
          </w:tcPr>
          <w:p>
            <w:pPr>
              <w:spacing w:after="0"/>
            </w:pPr>
            <w:r>
              <w:rPr>
                <w:rFonts w:ascii="Calibri" w:hAnsi="Calibri"/>
                <w:b/>
                <w:color w:val="2D3748"/>
                <w:sz w:val="17"/>
              </w:rPr>
              <w:t>₹21.44 Lakhs (88.0%)</w:t>
            </w:r>
          </w:p>
        </w:tc>
        <w:tc>
          <w:tcPr>
            <w:tcW w:type="dxa" w:w="2340"/>
            <w:shd w:fill="F7FAFC"/>
            <w:tcMar>
              <w:top w:w="60" w:type="dxa"/>
              <w:bottom w:w="60" w:type="dxa"/>
              <w:left w:w="80" w:type="dxa"/>
              <w:right w:w="80" w:type="dxa"/>
            </w:tcMar>
          </w:tcPr>
          <w:p>
            <w:pPr>
              <w:spacing w:after="0"/>
            </w:pPr>
            <w:r>
              <w:rPr>
                <w:rFonts w:ascii="Calibri" w:hAnsi="Calibri"/>
                <w:b/>
                <w:color w:val="2D3748"/>
                <w:sz w:val="17"/>
              </w:rPr>
              <w:t>₹119.62 Lakhs (89.0%)</w:t>
            </w:r>
          </w:p>
        </w:tc>
        <w:tc>
          <w:tcPr>
            <w:tcW w:type="dxa" w:w="2340"/>
            <w:shd w:fill="F7FAFC"/>
            <w:tcMar>
              <w:top w:w="60" w:type="dxa"/>
              <w:bottom w:w="60" w:type="dxa"/>
              <w:left w:w="80" w:type="dxa"/>
              <w:right w:w="80" w:type="dxa"/>
            </w:tcMar>
          </w:tcPr>
          <w:p>
            <w:pPr>
              <w:spacing w:after="0"/>
            </w:pPr>
            <w:r>
              <w:rPr>
                <w:rFonts w:ascii="Calibri" w:hAnsi="Calibri"/>
                <w:b/>
                <w:color w:val="2D3748"/>
                <w:sz w:val="17"/>
              </w:rPr>
              <w:t>₹568.71 Lakhs (89.0%)</w:t>
            </w:r>
          </w:p>
        </w:tc>
      </w:tr>
      <w:tr>
        <w:tc>
          <w:tcPr>
            <w:tcW w:type="dxa" w:w="2340"/>
            <w:shd w:fill="FFFFFF"/>
            <w:tcMar>
              <w:top w:w="60" w:type="dxa"/>
              <w:bottom w:w="60" w:type="dxa"/>
              <w:left w:w="80" w:type="dxa"/>
              <w:right w:w="80" w:type="dxa"/>
            </w:tcMar>
          </w:tcPr>
          <w:p>
            <w:pPr>
              <w:spacing w:after="0"/>
            </w:pPr>
            <w:r>
              <w:rPr>
                <w:rFonts w:ascii="Calibri" w:hAnsi="Calibri"/>
                <w:color w:val="1B365D"/>
                <w:sz w:val="17"/>
              </w:rPr>
              <w:t>Total Operating Expenses (OPEX)</w:t>
            </w:r>
          </w:p>
        </w:tc>
        <w:tc>
          <w:tcPr>
            <w:tcW w:type="dxa" w:w="2340"/>
            <w:shd w:fill="FFFFFF"/>
            <w:tcMar>
              <w:top w:w="60" w:type="dxa"/>
              <w:bottom w:w="60" w:type="dxa"/>
              <w:left w:w="80" w:type="dxa"/>
              <w:right w:w="80" w:type="dxa"/>
            </w:tcMar>
          </w:tcPr>
          <w:p>
            <w:pPr>
              <w:spacing w:after="0"/>
            </w:pPr>
            <w:r>
              <w:rPr>
                <w:rFonts w:ascii="Calibri" w:hAnsi="Calibri"/>
                <w:color w:val="2D3748"/>
                <w:sz w:val="17"/>
              </w:rPr>
              <w:t>₹24.30 Lakhs</w:t>
            </w:r>
          </w:p>
        </w:tc>
        <w:tc>
          <w:tcPr>
            <w:tcW w:type="dxa" w:w="2340"/>
            <w:shd w:fill="FFFFFF"/>
            <w:tcMar>
              <w:top w:w="60" w:type="dxa"/>
              <w:bottom w:w="60" w:type="dxa"/>
              <w:left w:w="80" w:type="dxa"/>
              <w:right w:w="80" w:type="dxa"/>
            </w:tcMar>
          </w:tcPr>
          <w:p>
            <w:pPr>
              <w:spacing w:after="0"/>
            </w:pPr>
            <w:r>
              <w:rPr>
                <w:rFonts w:ascii="Calibri" w:hAnsi="Calibri"/>
                <w:color w:val="2D3748"/>
                <w:sz w:val="17"/>
              </w:rPr>
              <w:t>₹78.00 Lakhs</w:t>
            </w:r>
          </w:p>
        </w:tc>
        <w:tc>
          <w:tcPr>
            <w:tcW w:type="dxa" w:w="2340"/>
            <w:shd w:fill="FFFFFF"/>
            <w:tcMar>
              <w:top w:w="60" w:type="dxa"/>
              <w:bottom w:w="60" w:type="dxa"/>
              <w:left w:w="80" w:type="dxa"/>
              <w:right w:w="80" w:type="dxa"/>
            </w:tcMar>
          </w:tcPr>
          <w:p>
            <w:pPr>
              <w:spacing w:after="0"/>
            </w:pPr>
            <w:r>
              <w:rPr>
                <w:rFonts w:ascii="Calibri" w:hAnsi="Calibri"/>
                <w:color w:val="2D3748"/>
                <w:sz w:val="17"/>
              </w:rPr>
              <w:t>₹208.00 Lakhs</w:t>
            </w:r>
          </w:p>
        </w:tc>
      </w:tr>
      <w:tr>
        <w:tc>
          <w:tcPr>
            <w:tcW w:type="dxa" w:w="2340"/>
            <w:shd w:fill="FEF3C7"/>
            <w:tcMar>
              <w:top w:w="60" w:type="dxa"/>
              <w:bottom w:w="60" w:type="dxa"/>
              <w:left w:w="80" w:type="dxa"/>
              <w:right w:w="80" w:type="dxa"/>
            </w:tcMar>
          </w:tcPr>
          <w:p>
            <w:pPr>
              <w:spacing w:after="0"/>
            </w:pPr>
            <w:r>
              <w:rPr>
                <w:rFonts w:ascii="Calibri" w:hAnsi="Calibri"/>
                <w:b/>
                <w:color w:val="1B365D"/>
                <w:sz w:val="17"/>
              </w:rPr>
              <w:t>EBITDA / NET PROFIT (PRE-TAX)</w:t>
            </w:r>
          </w:p>
        </w:tc>
        <w:tc>
          <w:tcPr>
            <w:tcW w:type="dxa" w:w="2340"/>
            <w:shd w:fill="FEF3C7"/>
            <w:tcMar>
              <w:top w:w="60" w:type="dxa"/>
              <w:bottom w:w="60" w:type="dxa"/>
              <w:left w:w="80" w:type="dxa"/>
              <w:right w:w="80" w:type="dxa"/>
            </w:tcMar>
          </w:tcPr>
          <w:p>
            <w:pPr>
              <w:spacing w:after="0"/>
            </w:pPr>
            <w:r>
              <w:rPr>
                <w:rFonts w:ascii="Calibri" w:hAnsi="Calibri"/>
                <w:b/>
                <w:color w:val="2D3748"/>
                <w:sz w:val="17"/>
              </w:rPr>
              <w:t>(₹2.86 Lakhs)</w:t>
            </w:r>
          </w:p>
        </w:tc>
        <w:tc>
          <w:tcPr>
            <w:tcW w:type="dxa" w:w="2340"/>
            <w:shd w:fill="FEF3C7"/>
            <w:tcMar>
              <w:top w:w="60" w:type="dxa"/>
              <w:bottom w:w="60" w:type="dxa"/>
              <w:left w:w="80" w:type="dxa"/>
              <w:right w:w="80" w:type="dxa"/>
            </w:tcMar>
          </w:tcPr>
          <w:p>
            <w:pPr>
              <w:spacing w:after="0"/>
            </w:pPr>
            <w:r>
              <w:rPr>
                <w:rFonts w:ascii="Calibri" w:hAnsi="Calibri"/>
                <w:b/>
                <w:color w:val="2D3748"/>
                <w:sz w:val="17"/>
              </w:rPr>
              <w:t>+₹41.62 Lakhs</w:t>
            </w:r>
          </w:p>
        </w:tc>
        <w:tc>
          <w:tcPr>
            <w:tcW w:type="dxa" w:w="2340"/>
            <w:shd w:fill="FEF3C7"/>
            <w:tcMar>
              <w:top w:w="60" w:type="dxa"/>
              <w:bottom w:w="60" w:type="dxa"/>
              <w:left w:w="80" w:type="dxa"/>
              <w:right w:w="80" w:type="dxa"/>
            </w:tcMar>
          </w:tcPr>
          <w:p>
            <w:pPr>
              <w:spacing w:after="0"/>
            </w:pPr>
            <w:r>
              <w:rPr>
                <w:rFonts w:ascii="Calibri" w:hAnsi="Calibri"/>
                <w:b/>
                <w:color w:val="2D3748"/>
                <w:sz w:val="17"/>
              </w:rPr>
              <w:t>+₹360.71 Lakhs (+56.4%)</w:t>
            </w:r>
          </w:p>
        </w:tc>
      </w:tr>
    </w:tbl>
    <w:p>
      <w:pPr>
        <w:spacing w:after="120"/>
      </w:pPr>
    </w:p>
    <w:p>
      <w:pPr>
        <w:pStyle w:val="Heading1"/>
        <w:spacing w:before="280" w:after="120"/>
      </w:pPr>
      <w:r>
        <w:rPr>
          <w:rFonts w:ascii="Arial" w:hAnsi="Arial"/>
          <w:color w:val="1B365D"/>
          <w:sz w:val="32"/>
        </w:rPr>
        <w:t>8. Accelerated 30-Day POC Sprint Execution Plan &amp; Milestones</w:t>
      </w:r>
    </w:p>
    <w:p>
      <w:pPr>
        <w:spacing w:after="120" w:line="276" w:lineRule="auto"/>
      </w:pPr>
      <w:r>
        <w:t>To achieve rapid commercial validation and secure the first 3 paying distributor pilots in Jaipur without unnecessary engineering overhead, execution is compressed into four high-velocity 7-day sprints.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4896"/>
        <w:gridCol w:w="2592"/>
      </w:tblGrid>
      <w:tr>
        <w:tc>
          <w:tcPr>
            <w:tcW w:type="dxa" w:w="3120"/>
            <w:shd w:fill="1B365D"/>
            <w:tcMar>
              <w:top w:w="80" w:type="dxa"/>
              <w:bottom w:w="80" w:type="dxa"/>
              <w:left w:w="80" w:type="dxa"/>
              <w:right w:w="80" w:type="dxa"/>
            </w:tcMar>
          </w:tcPr>
          <w:p>
            <w:pPr>
              <w:spacing w:after="0"/>
            </w:pPr>
            <w:r>
              <w:rPr>
                <w:rFonts w:ascii="Calibri" w:hAnsi="Calibri"/>
                <w:b/>
                <w:color w:val="FFFFFF"/>
                <w:sz w:val="18"/>
              </w:rPr>
              <w:t>Sprint &amp; Days</w:t>
            </w:r>
          </w:p>
        </w:tc>
        <w:tc>
          <w:tcPr>
            <w:tcW w:type="dxa" w:w="3120"/>
            <w:shd w:fill="1B365D"/>
            <w:tcMar>
              <w:top w:w="80" w:type="dxa"/>
              <w:bottom w:w="80" w:type="dxa"/>
              <w:left w:w="80" w:type="dxa"/>
              <w:right w:w="80" w:type="dxa"/>
            </w:tcMar>
          </w:tcPr>
          <w:p>
            <w:pPr>
              <w:spacing w:after="0"/>
            </w:pPr>
            <w:r>
              <w:rPr>
                <w:rFonts w:ascii="Calibri" w:hAnsi="Calibri"/>
                <w:b/>
                <w:color w:val="FFFFFF"/>
                <w:sz w:val="18"/>
              </w:rPr>
              <w:t>Engineering &amp; Product Deliverables</w:t>
            </w:r>
          </w:p>
        </w:tc>
        <w:tc>
          <w:tcPr>
            <w:tcW w:type="dxa" w:w="3120"/>
            <w:shd w:fill="1B365D"/>
            <w:tcMar>
              <w:top w:w="80" w:type="dxa"/>
              <w:bottom w:w="80" w:type="dxa"/>
              <w:left w:w="80" w:type="dxa"/>
              <w:right w:w="80" w:type="dxa"/>
            </w:tcMar>
          </w:tcPr>
          <w:p>
            <w:pPr>
              <w:spacing w:after="0"/>
            </w:pPr>
            <w:r>
              <w:rPr>
                <w:rFonts w:ascii="Calibri" w:hAnsi="Calibri"/>
                <w:b/>
                <w:color w:val="FFFFFF"/>
                <w:sz w:val="18"/>
              </w:rPr>
              <w:t>Validation &amp; Pilot Gate</w:t>
            </w:r>
          </w:p>
        </w:tc>
      </w:tr>
      <w:tr>
        <w:tc>
          <w:tcPr>
            <w:tcW w:type="dxa" w:w="3120"/>
            <w:shd w:fill="F7FAFC"/>
            <w:tcMar>
              <w:top w:w="60" w:type="dxa"/>
              <w:bottom w:w="60" w:type="dxa"/>
              <w:left w:w="80" w:type="dxa"/>
              <w:right w:w="80" w:type="dxa"/>
            </w:tcMar>
          </w:tcPr>
          <w:p>
            <w:pPr>
              <w:spacing w:after="0"/>
            </w:pPr>
            <w:r>
              <w:rPr>
                <w:rFonts w:ascii="Calibri" w:hAnsi="Calibri"/>
                <w:b/>
                <w:color w:val="1B365D"/>
                <w:sz w:val="17"/>
              </w:rPr>
              <w:t>Sprint 1 (Days 01–07)</w:t>
            </w:r>
          </w:p>
        </w:tc>
        <w:tc>
          <w:tcPr>
            <w:tcW w:type="dxa" w:w="3120"/>
            <w:shd w:fill="F7FAFC"/>
            <w:tcMar>
              <w:top w:w="60" w:type="dxa"/>
              <w:bottom w:w="60" w:type="dxa"/>
              <w:left w:w="80" w:type="dxa"/>
              <w:right w:w="80" w:type="dxa"/>
            </w:tcMar>
          </w:tcPr>
          <w:p>
            <w:pPr>
              <w:spacing w:after="0"/>
            </w:pPr>
            <w:r>
              <w:rPr>
                <w:rFonts w:ascii="Calibri" w:hAnsi="Calibri"/>
                <w:color w:val="2D3748"/>
                <w:sz w:val="17"/>
              </w:rPr>
              <w:t>• GCP Cloud Run, Managed PostgreSQL (Cloud SQL), Redis setup in asia-south1.</w:t>
              <w:br/>
              <w:t>• Multi-tenant schema execution with Row-Level Security (RLS).</w:t>
              <w:br/>
              <w:t>• Meta Cloud API webhook handler with HMAC-SHA256 &amp; Redis deduplication.</w:t>
            </w:r>
          </w:p>
        </w:tc>
        <w:tc>
          <w:tcPr>
            <w:tcW w:type="dxa" w:w="3120"/>
            <w:shd w:fill="F7FAFC"/>
            <w:tcMar>
              <w:top w:w="60" w:type="dxa"/>
              <w:bottom w:w="60" w:type="dxa"/>
              <w:left w:w="80" w:type="dxa"/>
              <w:right w:w="80" w:type="dxa"/>
            </w:tcMar>
          </w:tcPr>
          <w:p>
            <w:pPr>
              <w:spacing w:after="0"/>
            </w:pPr>
            <w:r>
              <w:rPr>
                <w:rFonts w:ascii="Calibri" w:hAnsi="Calibri"/>
                <w:b/>
                <w:color w:val="0D9488"/>
                <w:sz w:val="17"/>
              </w:rPr>
              <w:t>Milestone 1 Gate:</w:t>
              <w:br/>
              <w:t>5 distinct WhatsApp lines ingest to 1 tenant with accurate worker attribution.</w:t>
            </w:r>
          </w:p>
        </w:tc>
      </w:tr>
      <w:tr>
        <w:tc>
          <w:tcPr>
            <w:tcW w:type="dxa" w:w="3120"/>
            <w:shd w:fill="FFFFFF"/>
            <w:tcMar>
              <w:top w:w="60" w:type="dxa"/>
              <w:bottom w:w="60" w:type="dxa"/>
              <w:left w:w="80" w:type="dxa"/>
              <w:right w:w="80" w:type="dxa"/>
            </w:tcMar>
          </w:tcPr>
          <w:p>
            <w:pPr>
              <w:spacing w:after="0"/>
            </w:pPr>
            <w:r>
              <w:rPr>
                <w:rFonts w:ascii="Calibri" w:hAnsi="Calibri"/>
                <w:b/>
                <w:color w:val="1B365D"/>
                <w:sz w:val="17"/>
              </w:rPr>
              <w:t>Sprint 2 (Days 08–15)</w:t>
            </w:r>
          </w:p>
        </w:tc>
        <w:tc>
          <w:tcPr>
            <w:tcW w:type="dxa" w:w="3120"/>
            <w:shd w:fill="FFFFFF"/>
            <w:tcMar>
              <w:top w:w="60" w:type="dxa"/>
              <w:bottom w:w="60" w:type="dxa"/>
              <w:left w:w="80" w:type="dxa"/>
              <w:right w:w="80" w:type="dxa"/>
            </w:tcMar>
          </w:tcPr>
          <w:p>
            <w:pPr>
              <w:spacing w:after="0"/>
            </w:pPr>
            <w:r>
              <w:rPr>
                <w:rFonts w:ascii="Calibri" w:hAnsi="Calibri"/>
                <w:color w:val="2D3748"/>
                <w:sz w:val="17"/>
              </w:rPr>
              <w:t>• Gemini Flash structured JSON schema for multi-lingual Intent &amp; NER.</w:t>
              <w:br/>
              <w:t>• Deterministic MCP Tool Bus (search_item_catalog, check_stock, credit_eval).</w:t>
              <w:br/>
              <w:t>• Multi-turn inquiry workflow (bed/table size &amp; budget) + 80% confidence &amp; &gt;5% discount Human Approval Gate + Inbound Voice STT.</w:t>
            </w:r>
          </w:p>
        </w:tc>
        <w:tc>
          <w:tcPr>
            <w:tcW w:type="dxa" w:w="3120"/>
            <w:shd w:fill="FFFFFF"/>
            <w:tcMar>
              <w:top w:w="60" w:type="dxa"/>
              <w:bottom w:w="60" w:type="dxa"/>
              <w:left w:w="80" w:type="dxa"/>
              <w:right w:w="80" w:type="dxa"/>
            </w:tcMar>
          </w:tcPr>
          <w:p>
            <w:pPr>
              <w:spacing w:after="0"/>
            </w:pPr>
            <w:r>
              <w:rPr>
                <w:rFonts w:ascii="Calibri" w:hAnsi="Calibri"/>
                <w:b/>
                <w:color w:val="0D9488"/>
                <w:sz w:val="17"/>
              </w:rPr>
              <w:t>Milestone 2 Gate:</w:t>
              <w:br/>
              <w:t>Orders extracted; discount/credit held for owner approval.</w:t>
            </w:r>
          </w:p>
        </w:tc>
      </w:tr>
      <w:tr>
        <w:tc>
          <w:tcPr>
            <w:tcW w:type="dxa" w:w="3120"/>
            <w:shd w:fill="F7FAFC"/>
            <w:tcMar>
              <w:top w:w="60" w:type="dxa"/>
              <w:bottom w:w="60" w:type="dxa"/>
              <w:left w:w="80" w:type="dxa"/>
              <w:right w:w="80" w:type="dxa"/>
            </w:tcMar>
          </w:tcPr>
          <w:p>
            <w:pPr>
              <w:spacing w:after="0"/>
            </w:pPr>
            <w:r>
              <w:rPr>
                <w:rFonts w:ascii="Calibri" w:hAnsi="Calibri"/>
                <w:b/>
                <w:color w:val="1B365D"/>
                <w:sz w:val="17"/>
              </w:rPr>
              <w:t>Sprint 3 (Days 16–22)</w:t>
            </w:r>
          </w:p>
        </w:tc>
        <w:tc>
          <w:tcPr>
            <w:tcW w:type="dxa" w:w="3120"/>
            <w:shd w:fill="F7FAFC"/>
            <w:tcMar>
              <w:top w:w="60" w:type="dxa"/>
              <w:bottom w:w="60" w:type="dxa"/>
              <w:left w:w="80" w:type="dxa"/>
              <w:right w:w="80" w:type="dxa"/>
            </w:tcMar>
          </w:tcPr>
          <w:p>
            <w:pPr>
              <w:spacing w:after="0"/>
            </w:pPr>
            <w:r>
              <w:rPr>
                <w:rFonts w:ascii="Calibri" w:hAnsi="Calibri"/>
                <w:color w:val="2D3748"/>
                <w:sz w:val="17"/>
              </w:rPr>
              <w:t>• Responsive React dashboard with real-time SSE live feed across 5 lines.</w:t>
              <w:br/>
              <w:t>• Implementation of Gate G6: Worker-level filter vs. Customer 360° unified feed.</w:t>
              <w:br/>
              <w:t>• 1-Click WhatsApp &amp; Web Owner Approval interface + 8:00 PM Daily Pulse.</w:t>
            </w:r>
          </w:p>
        </w:tc>
        <w:tc>
          <w:tcPr>
            <w:tcW w:type="dxa" w:w="3120"/>
            <w:shd w:fill="F7FAFC"/>
            <w:tcMar>
              <w:top w:w="60" w:type="dxa"/>
              <w:bottom w:w="60" w:type="dxa"/>
              <w:left w:w="80" w:type="dxa"/>
              <w:right w:w="80" w:type="dxa"/>
            </w:tcMar>
          </w:tcPr>
          <w:p>
            <w:pPr>
              <w:spacing w:after="0"/>
            </w:pPr>
            <w:r>
              <w:rPr>
                <w:rFonts w:ascii="Calibri" w:hAnsi="Calibri"/>
                <w:b/>
                <w:color w:val="0D9488"/>
                <w:sz w:val="17"/>
              </w:rPr>
              <w:t>Milestone 3 Gate:</w:t>
              <w:br/>
              <w:t>Owner Command Center functional with live G6 filtering &amp; approvals.</w:t>
            </w:r>
          </w:p>
        </w:tc>
      </w:tr>
      <w:tr>
        <w:tc>
          <w:tcPr>
            <w:tcW w:type="dxa" w:w="3120"/>
            <w:shd w:fill="FFFFFF"/>
            <w:tcMar>
              <w:top w:w="60" w:type="dxa"/>
              <w:bottom w:w="60" w:type="dxa"/>
              <w:left w:w="80" w:type="dxa"/>
              <w:right w:w="80" w:type="dxa"/>
            </w:tcMar>
          </w:tcPr>
          <w:p>
            <w:pPr>
              <w:spacing w:after="0"/>
            </w:pPr>
            <w:r>
              <w:rPr>
                <w:rFonts w:ascii="Calibri" w:hAnsi="Calibri"/>
                <w:b/>
                <w:color w:val="1B365D"/>
                <w:sz w:val="17"/>
              </w:rPr>
              <w:t>Sprint 4 (Days 23–30)</w:t>
            </w:r>
          </w:p>
        </w:tc>
        <w:tc>
          <w:tcPr>
            <w:tcW w:type="dxa" w:w="3120"/>
            <w:shd w:fill="FFFFFF"/>
            <w:tcMar>
              <w:top w:w="60" w:type="dxa"/>
              <w:bottom w:w="60" w:type="dxa"/>
              <w:left w:w="80" w:type="dxa"/>
              <w:right w:w="80" w:type="dxa"/>
            </w:tcMar>
          </w:tcPr>
          <w:p>
            <w:pPr>
              <w:spacing w:after="0"/>
            </w:pPr>
            <w:r>
              <w:rPr>
                <w:rFonts w:ascii="Calibri" w:hAnsi="Calibri"/>
                <w:color w:val="2D3748"/>
                <w:sz w:val="17"/>
              </w:rPr>
              <w:t>• Stress testing across 500 real Jaipur distributor chat transcripts (G1-G9).</w:t>
              <w:br/>
              <w:t>• Cloud Run production hardening, automated backups &amp; audit logging.</w:t>
              <w:br/>
              <w:t>• Onboarding First 3 Live Jaipur Pilots in Sitapura/VKI with Tally CSV catalog.</w:t>
            </w:r>
          </w:p>
        </w:tc>
        <w:tc>
          <w:tcPr>
            <w:tcW w:type="dxa" w:w="3120"/>
            <w:shd w:fill="FFFFFF"/>
            <w:tcMar>
              <w:top w:w="60" w:type="dxa"/>
              <w:bottom w:w="60" w:type="dxa"/>
              <w:left w:w="80" w:type="dxa"/>
              <w:right w:w="80" w:type="dxa"/>
            </w:tcMar>
          </w:tcPr>
          <w:p>
            <w:pPr>
              <w:spacing w:after="0"/>
            </w:pPr>
            <w:r>
              <w:rPr>
                <w:rFonts w:ascii="Calibri" w:hAnsi="Calibri"/>
                <w:b/>
                <w:color w:val="0D9488"/>
                <w:sz w:val="17"/>
              </w:rPr>
              <w:t>Milestone 4 Gate:</w:t>
              <w:br/>
              <w:t>3 Live Jaipur Distributors running live operations on ZuvoCloud.</w:t>
            </w:r>
          </w:p>
        </w:tc>
      </w:tr>
    </w:tbl>
    <w:p>
      <w:pPr>
        <w:spacing w:after="240"/>
      </w:pPr>
    </w:p>
    <w:p>
      <w:pPr>
        <w:spacing w:after="40"/>
      </w:pPr>
      <w:r>
        <w:rPr>
          <w:rFonts w:ascii="Calibri" w:hAnsi="Calibri"/>
          <w:b/>
          <w:color w:val="1B365D"/>
          <w:sz w:val="21"/>
        </w:rPr>
        <w:t>STRATEGIC SIGN-OFF &amp; GOVERNANCE APPROVAL</w:t>
      </w:r>
    </w:p>
    <w:p>
      <w:pPr>
        <w:spacing w:after="0" w:line="276" w:lineRule="auto"/>
      </w:pPr>
      <w:r>
        <w:t>Prepared By: Senior Venture Strategist &amp; Serial Entrepreneur (IIM Ahmedabad)</w:t>
        <w:br/>
        <w:t>Executive Leadership: Jitendra (Founder &amp; Chief Architect) &amp; Operations Co-Founder (Jaipur Hub)</w:t>
        <w:br/>
        <w:t>Entity: ZuvoCloud Pvt. Ltd. | www.zuvocloud.com | All Intellectual Property Rights Reserved.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EC0"/>
        <w:sz w:val="17"/>
      </w:rPr>
      <w:t>Confidential — ZuvoCloud Pvt. Ltd. — For Executive &amp; Operational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Zuvocloud AI Solution | Strategic Master Blueprint (IIM-A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