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40" w:right="-540" w:firstLine="0"/>
        <w:jc w:val="center"/>
        <w:rPr/>
      </w:pP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Determine the Kinetic Friction</w:t>
      </w:r>
      <w:r w:rsidDel="00000000" w:rsidR="00000000" w:rsidRPr="00000000">
        <w:rPr>
          <w:rtl w:val="0"/>
        </w:rPr>
        <w:t xml:space="preserve">                                                                        </w:t>
      </w:r>
    </w:p>
    <w:p w:rsidR="00000000" w:rsidDel="00000000" w:rsidP="00000000" w:rsidRDefault="00000000" w:rsidRPr="00000000" w14:paraId="00000003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300788" cy="711867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788" cy="7118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40" w:right="-540" w:firstLine="0"/>
        <w:jc w:val="center"/>
        <w:rPr/>
      </w:pP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Determine the Coefficient of Kinetic Friction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243638" cy="261152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3638" cy="2611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167438" cy="370639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7438" cy="3706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4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40" w:right="-54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Pre-AP Physics </w:t>
    </w:r>
    <w:r w:rsidDel="00000000" w:rsidR="00000000" w:rsidRPr="00000000">
      <w:rPr>
        <w:rtl w:val="0"/>
      </w:rPr>
      <w:t xml:space="preserve">   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                         05Lab_Kinetic Friction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