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40" w:right="-540" w:firstLine="0"/>
        <w:jc w:val="center"/>
        <w:rPr>
          <w:b w:val="1"/>
          <w:bCs w:val="1"/>
          <w:color w:val="0b5394"/>
          <w:sz w:val="30"/>
          <w:szCs w:val="30"/>
        </w:rPr>
      </w:pPr>
      <w:r w:rsidDel="00000000" w:rsidR="00000000" w:rsidRPr="00000000">
        <w:rPr>
          <w:b w:val="1"/>
          <w:bCs w:val="1"/>
          <w:color w:val="0b5394"/>
          <w:sz w:val="30"/>
          <w:szCs w:val="30"/>
          <w:rtl w:val="0"/>
        </w:rPr>
        <w:t xml:space="preserve">Newton’s Third Law of Motion:</w:t>
      </w:r>
    </w:p>
    <w:p w:rsidR="00000000" w:rsidDel="00000000" w:rsidP="00000000" w:rsidRDefault="00000000" w:rsidRPr="00000000" w14:paraId="00000002">
      <w:pPr>
        <w:ind w:left="-540" w:right="-540" w:firstLine="0"/>
        <w:jc w:val="left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540" w:right="-540" w:firstLine="0"/>
        <w:jc w:val="left"/>
        <w:rPr>
          <w:b w:val="1"/>
          <w:bCs w:val="1"/>
          <w:color w:val="0b5394"/>
          <w:sz w:val="30"/>
          <w:szCs w:val="30"/>
        </w:rPr>
      </w:pPr>
      <w:r w:rsidDel="00000000" w:rsidR="00000000" w:rsidRPr="00000000">
        <w:rPr>
          <w:sz w:val="24"/>
          <w:szCs w:val="24"/>
          <w:rtl w:val="0"/>
        </w:rPr>
        <w:t xml:space="preserve">Whenever one body exerts a force on a second body, the first body experiences a force that is equal in magnitude and opposite in direction to the force that it exerts.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540" w:right="-540" w:firstLine="0"/>
        <w:jc w:val="left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540" w:right="-540" w:firstLine="0"/>
        <w:jc w:val="left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Action and Reaction Forces:</w:t>
      </w:r>
    </w:p>
    <w:p w:rsidR="00000000" w:rsidDel="00000000" w:rsidP="00000000" w:rsidRDefault="00000000" w:rsidRPr="00000000" w14:paraId="00000006">
      <w:pPr>
        <w:ind w:left="-540" w:right="-540" w:firstLine="0"/>
        <w:jc w:val="left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540" w:right="-540" w:firstLine="0"/>
        <w:jc w:val="left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W</w:t>
      </w:r>
      <w:r w:rsidDel="00000000" w:rsidR="00000000" w:rsidRPr="00000000">
        <w:rPr>
          <w:sz w:val="24"/>
          <w:szCs w:val="24"/>
          <w:rtl w:val="0"/>
        </w:rPr>
        <w:t xml:space="preserve">e sometimes refer to this law as “action-reaction”, where the force exerted is action and the force experienced as a consequence is the reaction.</w:t>
      </w:r>
    </w:p>
    <w:p w:rsidR="00000000" w:rsidDel="00000000" w:rsidP="00000000" w:rsidRDefault="00000000" w:rsidRPr="00000000" w14:paraId="00000008">
      <w:pPr>
        <w:ind w:left="-540" w:right="-540" w:firstLine="0"/>
        <w:jc w:val="left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540" w:right="-540" w:firstLine="0"/>
        <w:jc w:val="left"/>
        <w:rPr>
          <w:b w:val="1"/>
          <w:bCs w:val="1"/>
          <w:color w:val="0b5394"/>
          <w:sz w:val="30"/>
          <w:szCs w:val="30"/>
        </w:rPr>
      </w:pPr>
      <w:r w:rsidDel="00000000" w:rsidR="00000000" w:rsidRPr="00000000">
        <w:rPr>
          <w:sz w:val="24"/>
          <w:szCs w:val="24"/>
          <w:rtl w:val="0"/>
        </w:rPr>
        <w:t xml:space="preserve">Newton’s third</w:t>
      </w:r>
      <w:r w:rsidDel="00000000" w:rsidR="00000000" w:rsidRPr="00000000">
        <w:rPr>
          <w:sz w:val="24"/>
          <w:szCs w:val="24"/>
          <w:rtl w:val="0"/>
        </w:rPr>
        <w:t xml:space="preserve"> law represents a certain symmetry in nature: Forces always occur in pairs, and one body can not exert a force on another without experiencing a force itself. This law has practical uses in analyzing the origin of forces and understanding which forces are internal/external to a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540" w:right="-540" w:firstLine="0"/>
        <w:jc w:val="left"/>
        <w:rPr>
          <w:b w:val="1"/>
          <w:bCs w:val="1"/>
          <w:color w:val="0b5394"/>
          <w:sz w:val="30"/>
          <w:szCs w:val="30"/>
        </w:rPr>
      </w:pPr>
      <w:r w:rsidDel="00000000" w:rsidR="00000000" w:rsidRPr="00000000">
        <w:rPr>
          <w:b w:val="1"/>
          <w:bCs w:val="1"/>
          <w:color w:val="0b5394"/>
          <w:sz w:val="30"/>
          <w:szCs w:val="30"/>
          <w:rtl w:val="0"/>
        </w:rPr>
        <w:t xml:space="preserve">   </w:t>
      </w:r>
      <w:r w:rsidDel="00000000" w:rsidR="00000000" w:rsidRPr="00000000">
        <w:rPr>
          <w:b w:val="1"/>
          <w:bCs w:val="1"/>
          <w:color w:val="0b5394"/>
          <w:sz w:val="30"/>
          <w:szCs w:val="30"/>
        </w:rPr>
        <w:drawing>
          <wp:inline distB="114300" distT="114300" distL="114300" distR="114300">
            <wp:extent cx="5646706" cy="2133004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6706" cy="2133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540" w:right="-540" w:firstLine="0"/>
        <w:jc w:val="left"/>
        <w:rPr>
          <w:b w:val="1"/>
          <w:bCs w:val="1"/>
          <w:color w:val="0b539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540" w:right="-540" w:firstLine="0"/>
        <w:jc w:val="left"/>
        <w:rPr>
          <w:b w:val="1"/>
          <w:bCs w:val="1"/>
          <w:color w:val="0b5394"/>
          <w:sz w:val="30"/>
          <w:szCs w:val="30"/>
        </w:rPr>
      </w:pPr>
      <w:r w:rsidDel="00000000" w:rsidR="00000000" w:rsidRPr="00000000">
        <w:rPr>
          <w:b w:val="1"/>
          <w:bCs w:val="1"/>
          <w:color w:val="0b5394"/>
          <w:sz w:val="30"/>
          <w:szCs w:val="30"/>
        </w:rPr>
        <w:drawing>
          <wp:inline distB="114300" distT="114300" distL="114300" distR="114300">
            <wp:extent cx="5334000" cy="2667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540" w:right="-540" w:firstLine="0"/>
        <w:jc w:val="left"/>
        <w:rPr>
          <w:b w:val="1"/>
          <w:bCs w:val="1"/>
          <w:color w:val="0b5394"/>
          <w:sz w:val="30"/>
          <w:szCs w:val="30"/>
        </w:rPr>
      </w:pPr>
      <w:r w:rsidDel="00000000" w:rsidR="00000000" w:rsidRPr="00000000">
        <w:rPr>
          <w:b w:val="1"/>
          <w:bCs w:val="1"/>
          <w:color w:val="0b5394"/>
          <w:sz w:val="30"/>
          <w:szCs w:val="30"/>
        </w:rPr>
        <w:drawing>
          <wp:inline distB="114300" distT="114300" distL="114300" distR="114300">
            <wp:extent cx="6712070" cy="677661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12070" cy="6776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540" w:right="-540" w:firstLine="0"/>
        <w:jc w:val="left"/>
        <w:rPr>
          <w:b w:val="1"/>
          <w:bCs w:val="1"/>
          <w:color w:val="0b5394"/>
          <w:sz w:val="30"/>
          <w:szCs w:val="30"/>
        </w:rPr>
      </w:pPr>
      <w:r w:rsidDel="00000000" w:rsidR="00000000" w:rsidRPr="00000000">
        <w:rPr>
          <w:b w:val="1"/>
          <w:bCs w:val="1"/>
          <w:color w:val="0b5394"/>
          <w:sz w:val="30"/>
          <w:szCs w:val="30"/>
        </w:rPr>
        <w:drawing>
          <wp:inline distB="114300" distT="114300" distL="114300" distR="114300">
            <wp:extent cx="3090863" cy="1196992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0863" cy="1196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540" w:right="-540" w:firstLine="0"/>
        <w:jc w:val="left"/>
        <w:rPr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540" w:right="-540" w:firstLine="0"/>
        <w:jc w:val="left"/>
        <w:rPr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540" w:right="-540" w:firstLine="0"/>
        <w:jc w:val="left"/>
        <w:rPr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540" w:right="-540" w:firstLine="0"/>
        <w:jc w:val="left"/>
        <w:rPr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540" w:right="-540" w:firstLine="0"/>
        <w:jc w:val="left"/>
        <w:rPr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540" w:right="-540" w:firstLine="0"/>
        <w:jc w:val="left"/>
        <w:rPr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540" w:right="-540" w:firstLine="0"/>
        <w:jc w:val="left"/>
        <w:rPr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540" w:right="-540" w:firstLine="0"/>
        <w:jc w:val="left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Identify the action-reaction pair of forces:</w:t>
      </w:r>
    </w:p>
    <w:p w:rsidR="00000000" w:rsidDel="00000000" w:rsidP="00000000" w:rsidRDefault="00000000" w:rsidRPr="00000000" w14:paraId="00000017">
      <w:pPr>
        <w:ind w:left="-540" w:right="-540" w:firstLine="0"/>
        <w:rPr>
          <w:b w:val="1"/>
          <w:bCs w:val="1"/>
          <w:color w:val="0b5394"/>
          <w:sz w:val="30"/>
          <w:szCs w:val="30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/>
        <w:drawing>
          <wp:inline distB="114300" distT="114300" distL="114300" distR="114300">
            <wp:extent cx="1917201" cy="1704179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7201" cy="17041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/>
        <w:drawing>
          <wp:inline distB="114300" distT="114300" distL="114300" distR="114300">
            <wp:extent cx="1379628" cy="1805554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9628" cy="18055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1387067" cy="1791628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7067" cy="1791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540" w:right="-540" w:firstLine="0"/>
        <w:jc w:val="center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176963" cy="3971601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6963" cy="39716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5976938" cy="122998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6938" cy="1229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029325" cy="8763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540" w:right="-540" w:firstLine="0"/>
        <w:jc w:val="center"/>
        <w:rPr>
          <w:b w:val="1"/>
          <w:bCs w:val="1"/>
          <w:color w:val="0b5394"/>
          <w:sz w:val="30"/>
          <w:szCs w:val="30"/>
        </w:rPr>
      </w:pPr>
      <w:r w:rsidDel="00000000" w:rsidR="00000000" w:rsidRPr="00000000">
        <w:rPr>
          <w:b w:val="1"/>
          <w:bCs w:val="1"/>
          <w:color w:val="0b5394"/>
          <w:sz w:val="30"/>
          <w:szCs w:val="30"/>
          <w:rtl w:val="0"/>
        </w:rPr>
        <w:t xml:space="preserve">Action and Reaction Forces (Continued)</w:t>
      </w:r>
    </w:p>
    <w:p w:rsidR="00000000" w:rsidDel="00000000" w:rsidP="00000000" w:rsidRDefault="00000000" w:rsidRPr="00000000" w14:paraId="0000001E">
      <w:pPr>
        <w:ind w:left="-540" w:right="-540" w:firstLine="0"/>
        <w:jc w:val="center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029325" cy="42926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029325" cy="9017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540" w:right="-540" w:firstLine="0"/>
        <w:jc w:val="center"/>
        <w:rPr>
          <w:b w:val="1"/>
          <w:bCs w:val="1"/>
          <w:color w:val="0b5394"/>
          <w:sz w:val="30"/>
          <w:szCs w:val="30"/>
        </w:rPr>
      </w:pPr>
      <w:r w:rsidDel="00000000" w:rsidR="00000000" w:rsidRPr="00000000">
        <w:rPr>
          <w:b w:val="1"/>
          <w:bCs w:val="1"/>
          <w:color w:val="0b5394"/>
          <w:sz w:val="30"/>
          <w:szCs w:val="30"/>
          <w:rtl w:val="0"/>
        </w:rPr>
        <w:t xml:space="preserve">Two-Body System</w:t>
      </w:r>
    </w:p>
    <w:p w:rsidR="00000000" w:rsidDel="00000000" w:rsidP="00000000" w:rsidRDefault="00000000" w:rsidRPr="00000000" w14:paraId="00000024">
      <w:pPr>
        <w:ind w:left="-540" w:right="-540" w:firstLine="0"/>
        <w:jc w:val="left"/>
        <w:rPr>
          <w:b w:val="1"/>
          <w:bCs w:val="1"/>
          <w:color w:val="0b5394"/>
          <w:sz w:val="30"/>
          <w:szCs w:val="30"/>
        </w:rPr>
      </w:pPr>
      <w:r w:rsidDel="00000000" w:rsidR="00000000" w:rsidRPr="00000000">
        <w:rPr>
          <w:b w:val="1"/>
          <w:bCs w:val="1"/>
          <w:color w:val="0b5394"/>
          <w:sz w:val="30"/>
          <w:szCs w:val="30"/>
        </w:rPr>
        <w:drawing>
          <wp:inline distB="114300" distT="114300" distL="114300" distR="114300">
            <wp:extent cx="6029325" cy="14224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540" w:right="-540" w:firstLine="0"/>
        <w:jc w:val="center"/>
        <w:rPr>
          <w:b w:val="1"/>
          <w:bCs w:val="1"/>
          <w:color w:val="0b5394"/>
          <w:sz w:val="30"/>
          <w:szCs w:val="30"/>
        </w:rPr>
      </w:pPr>
      <w:r w:rsidDel="00000000" w:rsidR="00000000" w:rsidRPr="00000000">
        <w:rPr>
          <w:b w:val="1"/>
          <w:bCs w:val="1"/>
          <w:color w:val="0b5394"/>
          <w:sz w:val="30"/>
          <w:szCs w:val="30"/>
          <w:rtl w:val="0"/>
        </w:rPr>
        <w:t xml:space="preserve">Two-Body System(Continued)</w:t>
      </w:r>
    </w:p>
    <w:p w:rsidR="00000000" w:rsidDel="00000000" w:rsidP="00000000" w:rsidRDefault="00000000" w:rsidRPr="00000000" w14:paraId="0000002B">
      <w:pPr>
        <w:ind w:left="-540" w:right="-540" w:firstLine="0"/>
        <w:jc w:val="center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540" w:right="-540" w:firstLine="0"/>
        <w:rPr>
          <w:i w:val="1"/>
          <w:iCs w:val="1"/>
          <w:color w:val="5b0f00"/>
          <w:sz w:val="24"/>
          <w:szCs w:val="24"/>
        </w:rPr>
      </w:pPr>
      <w:r w:rsidDel="00000000" w:rsidR="00000000" w:rsidRPr="00000000">
        <w:rPr>
          <w:i w:val="1"/>
          <w:iCs w:val="1"/>
          <w:color w:val="5b0f00"/>
          <w:sz w:val="24"/>
          <w:szCs w:val="24"/>
          <w:rtl w:val="0"/>
        </w:rPr>
        <w:t xml:space="preserve">1. Internal Forces in a System: Action-reaction forces between the objects in the system</w:t>
      </w:r>
    </w:p>
    <w:p w:rsidR="00000000" w:rsidDel="00000000" w:rsidP="00000000" w:rsidRDefault="00000000" w:rsidRPr="00000000" w14:paraId="0000002D">
      <w:pPr>
        <w:ind w:left="-540" w:right="-540" w:firstLine="0"/>
        <w:rPr>
          <w:i w:val="1"/>
          <w:iCs w:val="1"/>
          <w:color w:val="5b0f00"/>
          <w:sz w:val="24"/>
          <w:szCs w:val="24"/>
        </w:rPr>
      </w:pPr>
      <w:r w:rsidDel="00000000" w:rsidR="00000000" w:rsidRPr="00000000">
        <w:rPr>
          <w:i w:val="1"/>
          <w:iCs w:val="1"/>
          <w:color w:val="5b0f00"/>
          <w:sz w:val="24"/>
          <w:szCs w:val="24"/>
          <w:rtl w:val="0"/>
        </w:rPr>
        <w:t xml:space="preserve">2. External Forces in a System: Forces exerted by objects from outside of the system</w:t>
      </w:r>
    </w:p>
    <w:p w:rsidR="00000000" w:rsidDel="00000000" w:rsidP="00000000" w:rsidRDefault="00000000" w:rsidRPr="00000000" w14:paraId="0000002E">
      <w:pPr>
        <w:ind w:left="-540" w:right="-540" w:firstLine="0"/>
        <w:rPr>
          <w:i w:val="1"/>
          <w:iCs w:val="1"/>
          <w:color w:val="5b0f00"/>
          <w:sz w:val="24"/>
          <w:szCs w:val="24"/>
        </w:rPr>
      </w:pPr>
      <w:r w:rsidDel="00000000" w:rsidR="00000000" w:rsidRPr="00000000">
        <w:rPr>
          <w:i w:val="1"/>
          <w:iCs w:val="1"/>
          <w:color w:val="5b0f00"/>
          <w:sz w:val="24"/>
          <w:szCs w:val="24"/>
          <w:rtl w:val="0"/>
        </w:rPr>
        <w:t xml:space="preserve">3. Newton’s Second Law for a System:</w:t>
      </w:r>
    </w:p>
    <w:p w:rsidR="00000000" w:rsidDel="00000000" w:rsidP="00000000" w:rsidRDefault="00000000" w:rsidRPr="00000000" w14:paraId="0000002F">
      <w:pPr>
        <w:ind w:left="-540" w:right="-54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Net External Force = Total Mass x Acceleration of the system</w:t>
      </w:r>
    </w:p>
    <w:p w:rsidR="00000000" w:rsidDel="00000000" w:rsidP="00000000" w:rsidRDefault="00000000" w:rsidRPr="00000000" w14:paraId="00000030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029325" cy="34925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372778" cy="2124259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2778" cy="21242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540" w:right="-540" w:firstLine="0"/>
        <w:rPr>
          <w:b w:val="1"/>
          <w:bCs w:val="1"/>
          <w:color w:val="0b539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540" w:right="-540" w:firstLine="0"/>
        <w:rPr>
          <w:b w:val="1"/>
          <w:bCs w:val="1"/>
          <w:color w:val="0b539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540" w:right="-5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540" w:right="-540" w:firstLine="0"/>
        <w:rPr/>
      </w:pPr>
      <w:r w:rsidDel="00000000" w:rsidR="00000000" w:rsidRPr="00000000">
        <w:rPr>
          <w:rtl w:val="0"/>
        </w:rPr>
      </w:r>
    </w:p>
    <w:sectPr>
      <w:headerReference r:id="rId21" w:type="default"/>
      <w:footerReference r:id="rId22" w:type="default"/>
      <w:pgSz w:h="15840" w:w="12240" w:orient="portrait"/>
      <w:pgMar w:bottom="810" w:top="810" w:left="1305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  <w:t xml:space="preserve">                                                                                                                             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ind w:left="-540" w:right="-540" w:firstLine="0"/>
      <w:rPr>
        <w:b w:val="1"/>
        <w:bCs w:val="1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Pre-AP Physics</w:t>
    </w:r>
    <w:r w:rsidDel="00000000" w:rsidR="00000000" w:rsidRPr="00000000">
      <w:rPr>
        <w:rtl w:val="0"/>
      </w:rPr>
      <w:t xml:space="preserve">                                                                                                            </w:t>
    </w:r>
    <w:r w:rsidDel="00000000" w:rsidR="00000000" w:rsidRPr="00000000">
      <w:rPr>
        <w:b w:val="1"/>
        <w:bCs w:val="1"/>
        <w:rtl w:val="0"/>
      </w:rPr>
      <w:t xml:space="preserve"> 06CN_Newton’s 3rd Law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13.png"/><Relationship Id="rId22" Type="http://schemas.openxmlformats.org/officeDocument/2006/relationships/footer" Target="footer1.xml"/><Relationship Id="rId10" Type="http://schemas.openxmlformats.org/officeDocument/2006/relationships/image" Target="media/image11.png"/><Relationship Id="rId21" Type="http://schemas.openxmlformats.org/officeDocument/2006/relationships/header" Target="header1.xml"/><Relationship Id="rId13" Type="http://schemas.openxmlformats.org/officeDocument/2006/relationships/image" Target="media/image8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5.png"/><Relationship Id="rId14" Type="http://schemas.openxmlformats.org/officeDocument/2006/relationships/image" Target="media/image2.png"/><Relationship Id="rId17" Type="http://schemas.openxmlformats.org/officeDocument/2006/relationships/image" Target="media/image12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5.png"/><Relationship Id="rId18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