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TransMixer 周末融合与知识蒸馏实验全面报告</w:t>
      </w:r>
    </w:p>
    <w:p>
      <w:pPr>
        <w:pStyle w:val="Subtitle"/>
      </w:pPr>
      <w:r>
        <w:t>31 次正式训练  两套选模规则  全部正负结果</w:t>
      </w:r>
    </w:p>
    <w:p>
      <w:pPr>
        <w:pStyle w:val="Heading1"/>
      </w:pPr>
      <w:r>
        <w:t>1 主要结论与实验边界</w:t>
      </w:r>
    </w:p>
    <w:p>
      <w:pPr/>
      <w:r>
        <w:t>本报告汇总 2026 年 10 月 24 日至 25 日保存的 TransMixer 实验，回答直接融合能否复现约 89% 的历史准确率、跨模态交互是否有效，以及知识蒸馏能否进一步提高轻量学生网络。正式训练共 31 次，按两套选模规则分开评价。</w:t>
      </w:r>
    </w:p>
    <w:p>
      <w:pPr/>
      <w:r>
        <w:t>四组蒸馏均未超过各自未蒸馏基线，本轮固定方案没有带来准确率提升。F4 向 RSCNet 蒸馏后 OA 下降 0.2214 个百分点，标签平滑相对 F4 为 +0.1312 个百分点。当前应保留轻量对照，暂不将普通蒸馏作为有效创新；这不等于否定所有可能的蒸馏方法。</w:t>
      </w:r>
    </w:p>
    <w:tbl>
      <w:tblPr>
        <w:tblW w:type="auto" w:w="0"/>
        <w:tblLayout w:type="fixed"/>
        <w:tblLook w:firstColumn="1" w:firstRow="1" w:lastColumn="0" w:lastRow="0" w:noHBand="0" w:noVBand="1" w:val="04A0"/>
      </w:tblPr>
      <w:tblGrid>
        <w:gridCol w:w="2268"/>
        <w:gridCol w:w="5102"/>
        <w:gridCol w:w="2268"/>
      </w:tblGrid>
      <w:tr>
        <w:trPr>
          <w:cantSplit/>
          <w:tblHeader/>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问题</w:t>
            </w:r>
          </w:p>
        </w:tc>
        <w:tc>
          <w:tcPr>
            <w:tcW w:type="dxa" w:w="5102"/>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本轮证据</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可以得出的结论</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直接融合能否回到约 89%</w:t>
            </w:r>
          </w:p>
        </w:tc>
        <w:tc>
          <w:tcPr>
            <w:tcW w:type="dxa" w:w="51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F0 OA 88.8907%；相对历史 88.9727 为 -0.0820 个百分点</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接近历史水平，未要求逐位一致</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双向交互是否有效</w:t>
            </w:r>
          </w:p>
        </w:tc>
        <w:tc>
          <w:tcPr>
            <w:tcW w:type="dxa" w:w="51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F4−F0 +0.3853；F4−F1 +0.1804 个百分点</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本轮单种子描述性比较</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蒸馏是否改善直接融合</w:t>
            </w:r>
          </w:p>
        </w:tc>
        <w:tc>
          <w:tcPr>
            <w:tcW w:type="dxa" w:w="51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K1−F0 -0.2706 个百分点</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下降</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蒸馏是否改善交互模型</w:t>
            </w:r>
          </w:p>
        </w:tc>
        <w:tc>
          <w:tcPr>
            <w:tcW w:type="dxa" w:w="51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K2−F4 -0.2214 个百分点</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下降</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是否超出标签平滑效果</w:t>
            </w:r>
          </w:p>
        </w:tc>
        <w:tc>
          <w:tcPr>
            <w:tcW w:type="dxa" w:w="51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K2−C1 -0.3525 个百分点</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只能评价本次固定配置</w:t>
            </w:r>
          </w:p>
        </w:tc>
      </w:tr>
    </w:tbl>
    <w:p>
      <w:pPr>
        <w:spacing w:after="0"/>
      </w:pPr>
    </w:p>
    <w:p>
      <w:pPr>
        <w:pStyle w:val="Heading2"/>
      </w:pPr>
      <w:r>
        <w:t>如何阅读这些分数</w:t>
      </w:r>
    </w:p>
    <w:p>
      <w:pPr/>
      <w:r>
        <w:t>OA 是全部测试中心的正确率；AA 是 15 类召回率的平均值；Kappa 衡量扣除随机一致后的表现，本报告统一乘以 100。准确率的相减使用百分点。新蒸馏对照只有 seed6，且沿用实验室用测试 OA 保存 checkpoint 的规则，因此属于探索结果，不是独立测试或统计显著性证明。</w:t>
      </w:r>
    </w:p>
    <w:p>
      <w:pPr/>
      <w:r>
        <w:t>本轮数据是 Houston2013 的 HSI 与 LiDAR。没有新增 Berlin 或 SAR 实验，不能将本报告的结论扩展到这些场景。</w:t>
      </w:r>
    </w:p>
    <w:p>
      <w:r>
        <w:br w:type="page"/>
      </w:r>
    </w:p>
    <w:p>
      <w:pPr>
        <w:pStyle w:val="Heading1"/>
      </w:pPr>
      <w:r>
        <w:t>2 本周末做了哪些实验</w:t>
      </w:r>
    </w:p>
    <w:tbl>
      <w:tblPr>
        <w:tblW w:type="auto" w:w="0"/>
        <w:tblLayout w:type="fixed"/>
        <w:tblLook w:firstColumn="1" w:firstRow="1" w:lastColumn="0" w:lastRow="0" w:noHBand="0" w:noVBand="1" w:val="04A0"/>
      </w:tblPr>
      <w:tblGrid>
        <w:gridCol w:w="2268"/>
        <w:gridCol w:w="2835"/>
        <w:gridCol w:w="3118"/>
        <w:gridCol w:w="1417"/>
      </w:tblGrid>
      <w:tr>
        <w:trPr>
          <w:cantSplit/>
          <w:tblHeader/>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批次</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正式训练</w:t>
            </w:r>
          </w:p>
        </w:tc>
        <w:tc>
          <w:tcPr>
            <w:tcW w:type="dxa" w:w="311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数据与选模</w:t>
            </w:r>
          </w:p>
        </w:tc>
        <w:tc>
          <w:tcPr>
            <w:tcW w:type="dxa" w:w="1417"/>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用途</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验证选模融合批次</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F0 至 F6 × seed6 7 8 共 21 次</w:t>
            </w:r>
          </w:p>
        </w:tc>
        <w:tc>
          <w:tcPr>
            <w:tcW w:type="dxa" w:w="311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2267 训练 565 验证 12197 测试；验证 OA 选模</w:t>
            </w:r>
          </w:p>
        </w:tc>
        <w:tc>
          <w:tcPr>
            <w:tcW w:type="dxa" w:w="141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比较融合方向与随机性</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原实验室流程融合批次</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F0 F1 F4 共 3 次</w:t>
            </w:r>
          </w:p>
        </w:tc>
        <w:tc>
          <w:tcPr>
            <w:tcW w:type="dxa" w:w="311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2832 官方训练 12197 测试；测试 OA 选模</w:t>
            </w:r>
          </w:p>
        </w:tc>
        <w:tc>
          <w:tcPr>
            <w:tcW w:type="dxa" w:w="141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复现历史直接融合口径</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新增教师与蒸馏批次</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T1 T2 K1 K2 K3 K4 C1 共 7 次</w:t>
            </w:r>
          </w:p>
        </w:tc>
        <w:tc>
          <w:tcPr>
            <w:tcW w:type="dxa" w:w="311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沿用上述原流程；seed6；每次 100 轮</w:t>
            </w:r>
          </w:p>
        </w:tc>
        <w:tc>
          <w:tcPr>
            <w:tcW w:type="dxa" w:w="141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教师选择 蒸馏 置信过滤及平滑对照</w:t>
            </w:r>
          </w:p>
        </w:tc>
      </w:tr>
    </w:tbl>
    <w:p>
      <w:pPr>
        <w:spacing w:after="0"/>
      </w:pPr>
    </w:p>
    <w:p>
      <w:pPr/>
      <w:r>
        <w:t>31 次只包含完成的正式训练。早期试启动 legacy_fusion_20261025_133300、合成输入检查、接口单元测试不计入训练总数。历史 9 月的单次成绩另列为背景，也不加入本周末统计。</w:t>
      </w:r>
    </w:p>
    <w:p>
      <w:pPr>
        <w:pStyle w:val="Heading2"/>
      </w:pPr>
      <w:r>
        <w:t>原流程统一设置</w:t>
      </w:r>
    </w:p>
    <w:tbl>
      <w:tblPr>
        <w:tblW w:type="auto" w:w="0"/>
        <w:tblLayout w:type="fixed"/>
        <w:tblLook w:firstColumn="1" w:firstRow="1" w:lastColumn="0" w:lastRow="0" w:noHBand="0" w:noVBand="1" w:val="04A0"/>
      </w:tblPr>
      <w:tblGrid>
        <w:gridCol w:w="2268"/>
        <w:gridCol w:w="7370"/>
      </w:tblGrid>
      <w:tr>
        <w:trPr>
          <w:cantSplit/>
          <w:tblHeader/>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设置</w:t>
            </w:r>
          </w:p>
        </w:tc>
        <w:tc>
          <w:tcPr>
            <w:tcW w:type="dxa" w:w="7370"/>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本轮固定值</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输入与预处理</w:t>
            </w:r>
          </w:p>
        </w:tc>
        <w:tc>
          <w:tcPr>
            <w:tcW w:type="dxa" w:w="737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PCA 30 维；11×11 窗口；全场景无标签 PCA 与标准化</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训练预算</w:t>
            </w:r>
          </w:p>
        </w:tc>
        <w:tc>
          <w:tcPr>
            <w:tcW w:type="dxa" w:w="737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100 轮；batch128；drop_last=True；每轮 22 个批次</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优化器</w:t>
            </w:r>
          </w:p>
        </w:tc>
        <w:tc>
          <w:tcPr>
            <w:tcW w:type="dxa" w:w="737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原 AdamW；学习率 0.0001；权重衰减 0.01</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随机种子与线程</w:t>
            </w:r>
          </w:p>
        </w:tc>
        <w:tc>
          <w:tcPr>
            <w:tcW w:type="dxa" w:w="737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seed6；OMP 与 MKL 线程均为 4</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模型保存</w:t>
            </w:r>
          </w:p>
        </w:tc>
        <w:tc>
          <w:tcPr>
            <w:tcW w:type="dxa" w:w="737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沿用实验室测试 OA 最优 checkpoint；不追加轮数或测试推理</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执行入口</w:t>
            </w:r>
          </w:p>
        </w:tc>
        <w:tc>
          <w:tcPr>
            <w:tcW w:type="dxa" w:w="737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原 scripts/train.py；原数据 训练和评估流程</w:t>
            </w:r>
          </w:p>
        </w:tc>
      </w:tr>
    </w:tbl>
    <w:p>
      <w:pPr>
        <w:spacing w:after="0"/>
      </w:pPr>
    </w:p>
    <w:p>
      <w:pPr/>
      <w:r>
        <w:t>两套协议的训练中心数、选模依据和数值设置不同。不能将验证批次的 85% 与原流程的约 89% 直接相减，并把差额归因于网络或某一个设置。所有模块效果都应使用同一批次内的对照。</w:t>
      </w:r>
    </w:p>
    <w:p>
      <w:r>
        <w:br w:type="page"/>
      </w:r>
    </w:p>
    <w:p>
      <w:pPr>
        <w:pStyle w:val="Heading1"/>
      </w:pPr>
      <w:r>
        <w:t>3 你的网络和教师分别在做什么</w:t>
      </w:r>
    </w:p>
    <w:p>
      <w:pPr>
        <w:pStyle w:val="Heading2"/>
      </w:pPr>
      <w:r>
        <w:t>直接融合与跨模态交互</w:t>
      </w:r>
    </w:p>
    <w:p>
      <w:pPr/>
      <w:r>
        <w:t>B0 的 HSI 分支先通过 3D 卷积和投影，再进入 TransMixer。块内按通道分出全局注意力路径与局部深度卷积路径；辅助 LiDAR 分支主要是 2D 卷积，并不是与 HSI 完全对称的局部全局编码器。最终将两种模态的特征按通道拼接，用 1×1 卷积、池化与分类头输出。</w:t>
      </w:r>
    </w:p>
    <w:p>
      <w:pPr/>
      <w:r>
        <w:t>F1 在辅助分支增加同类型自注意力，作为近似等参数容量对照。F4 在最终融合前加入双向交叉注意力，让 HSI 读取辅助信息，同时让辅助特征读取 HSI。两个方向都读取更新前特征，保留原融合头。F1 不严格匹配 F4 的全部计算量。</w:t>
      </w:r>
    </w:p>
    <w:p>
      <w:pPr>
        <w:pStyle w:val="Heading2"/>
      </w:pPr>
      <w:r>
        <w:t>教师和学生的关系</w:t>
      </w:r>
    </w:p>
    <w:p>
      <w:pPr/>
      <w:r>
        <w:t>教师是一张先独立训练好的分类网络。学生除了学习真实类别，还学习教师对 15 类给出的概率分布。例如教师把一个像素判断为道路 60%、高速公路 30%，它提供了这两类相似的信息。学生学习这种分布时仍保留真实标签损失，不是照抄教师的所有判断。</w:t>
      </w:r>
    </w:p>
    <w:tbl>
      <w:tblPr>
        <w:tblW w:type="auto" w:w="0"/>
        <w:tblLayout w:type="fixed"/>
        <w:tblLook w:firstColumn="1" w:firstRow="1" w:lastColumn="0" w:lastRow="0" w:noHBand="0" w:noVBand="1" w:val="04A0"/>
      </w:tblPr>
      <w:tblGrid>
        <w:gridCol w:w="2268"/>
        <w:gridCol w:w="4535"/>
        <w:gridCol w:w="2835"/>
      </w:tblGrid>
      <w:tr>
        <w:trPr>
          <w:cantSplit/>
          <w:tblHeader/>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网络</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训练时看到的输入</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承担的角色</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B0 与 F4 学生</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PCA 后 HSI 加 LiDAR</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最终用于推理的轻量网络</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RSCNet 教师 T1</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原始 144 波段 HSI 加 PCA HSI 加 LiDAR</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更丰富输入的训练指导</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CNN 教师 T2</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PCA 后 HSI 加 LiDAR</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与学生输入信息一致的教师对照</w:t>
            </w:r>
          </w:p>
        </w:tc>
      </w:tr>
    </w:tbl>
    <w:p>
      <w:pPr>
        <w:spacing w:after="0"/>
      </w:pPr>
    </w:p>
    <w:p>
      <w:pPr/>
      <w:r>
        <w:t>教师的权重与 BatchNorm 状态在学生训练中冻结，并读取同一个增强后的 batch。学生均从头训练 100 轮，没有使用旧学生 checkpoint 继续训练。推理时仅保留原 B0 或 F4；教师不进入学生模型文件。</w:t>
      </w:r>
    </w:p>
    <w:p>
      <w:pPr/>
      <w:r>
        <w:t>RSCNet 与 CNN 的比较同时改变了网络结构和输入信息量。即使其中一位教师带来的收益更大，也不能只归因为该网络结构更适合蒸馏。</w:t>
      </w:r>
    </w:p>
    <w:p>
      <w:r>
        <w:br w:type="page"/>
      </w:r>
    </w:p>
    <w:p>
      <w:pPr>
        <w:pStyle w:val="Heading1"/>
      </w:pPr>
      <w:r>
        <w:t>4 原版融合复现与历史结果</w:t>
      </w:r>
    </w:p>
    <w:tbl>
      <w:tblPr>
        <w:tblW w:type="auto" w:w="0"/>
        <w:tblLayout w:type="fixed"/>
        <w:tblLook w:firstColumn="1" w:firstRow="1" w:lastColumn="0" w:lastRow="0" w:noHBand="0" w:noVBand="1" w:val="04A0"/>
      </w:tblPr>
      <w:tblGrid>
        <w:gridCol w:w="422"/>
        <w:gridCol w:w="3614"/>
        <w:gridCol w:w="1265"/>
        <w:gridCol w:w="1265"/>
        <w:gridCol w:w="1626"/>
        <w:gridCol w:w="1446"/>
      </w:tblGrid>
      <w:tr>
        <w:trPr>
          <w:cantSplit/>
          <w:tblHeader/>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组</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方法</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OA %</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AA %</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Kappa ×100</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参数</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F0</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F0 原版直接融合</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88.8907</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90.5427</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87.9355</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80,887</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F1</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F1 辅助分支自增强</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89.0957</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90.7708</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88.1594</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97,656</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整体双向交互</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89.2761</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90.9362</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88.3540</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bl>
    <w:p>
      <w:pPr>
        <w:spacing w:after="0"/>
      </w:pPr>
    </w:p>
    <w:tbl>
      <w:tblPr>
        <w:tblW w:type="auto" w:w="0"/>
        <w:tblLayout w:type="fixed"/>
        <w:tblLook w:firstColumn="1" w:firstRow="1" w:lastColumn="0" w:lastRow="0" w:noHBand="0" w:noVBand="1" w:val="04A0"/>
      </w:tblPr>
      <w:tblGrid>
        <w:gridCol w:w="1701"/>
        <w:gridCol w:w="2268"/>
        <w:gridCol w:w="5669"/>
      </w:tblGrid>
      <w:tr>
        <w:trPr>
          <w:cantSplit/>
          <w:tblHeader/>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同批对照</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OA 差值 百分点</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解释</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F1−F0</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+0.2050</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额外辅助变换带来的变化</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F4−F0</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+0.3853</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交互方案相对直接融合的总变化</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F4−F1</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+0.1804</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交互相对容量对照的变化</w:t>
            </w:r>
          </w:p>
        </w:tc>
      </w:tr>
    </w:tbl>
    <w:p>
      <w:pPr>
        <w:spacing w:after="0"/>
      </w:pPr>
    </w:p>
    <w:p>
      <w:pPr/>
      <w:r>
        <w:t>F0 的 88.8907% 与历史 88.9727% 接近，相差 -0.0820 个百分点。这回应了之前为何约为 89% 的问题：在恢复原 2832 个训练中心和原选模流程后，原模型确实回到了相近区间。但多个设置一起恢复，尚未逐项分离各设置的影响。</w:t>
      </w:r>
    </w:p>
    <w:p>
      <w:pPr>
        <w:pStyle w:val="Heading2"/>
      </w:pPr>
      <w:r>
        <w:t>历史单次结果仅作为背景</w:t>
      </w:r>
    </w:p>
    <w:tbl>
      <w:tblPr>
        <w:tblW w:type="auto" w:w="0"/>
        <w:tblLayout w:type="fixed"/>
        <w:tblLook w:firstColumn="1" w:firstRow="1" w:lastColumn="0" w:lastRow="0" w:noHBand="0" w:noVBand="1" w:val="04A0"/>
      </w:tblPr>
      <w:tblGrid>
        <w:gridCol w:w="3402"/>
        <w:gridCol w:w="1701"/>
        <w:gridCol w:w="4535"/>
      </w:tblGrid>
      <w:tr>
        <w:trPr>
          <w:cantSplit/>
          <w:tblHeader/>
        </w:trPr>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历史记录</w:t>
            </w:r>
          </w:p>
        </w:tc>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OA %</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证据边界</w:t>
            </w:r>
          </w:p>
        </w:tc>
      </w:tr>
      <w:tr>
        <w:trPr>
          <w:cantSplit/>
        </w:trPr>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2026 年 9 月直接融合 B0</w:t>
            </w:r>
          </w:p>
        </w:tc>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88.9727</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历史会话保留的标准报告输出</w:t>
            </w:r>
          </w:p>
        </w:tc>
      </w:tr>
      <w:tr>
        <w:trPr>
          <w:cantSplit/>
        </w:trPr>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B1 局部残差</w:t>
            </w:r>
          </w:p>
        </w:tc>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88.9399</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历史单次特征提取消融</w:t>
            </w:r>
          </w:p>
        </w:tc>
      </w:tr>
      <w:tr>
        <w:trPr>
          <w:cantSplit/>
        </w:trPr>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B2 SSM 前残差</w:t>
            </w:r>
          </w:p>
        </w:tc>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88.9317</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历史单次特征提取消融</w:t>
            </w:r>
          </w:p>
        </w:tc>
      </w:tr>
      <w:tr>
        <w:trPr>
          <w:cantSplit/>
        </w:trPr>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B3 步长初始化</w:t>
            </w:r>
          </w:p>
        </w:tc>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88.4644</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历史单次特征提取消融</w:t>
            </w:r>
          </w:p>
        </w:tc>
      </w:tr>
      <w:tr>
        <w:trPr>
          <w:cantSplit/>
        </w:trPr>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B4 多尺度深度卷积</w:t>
            </w:r>
          </w:p>
        </w:tc>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88.9891</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相对旧 B0 约 +0.0164 个百分点</w:t>
            </w:r>
          </w:p>
        </w:tc>
      </w:tr>
    </w:tbl>
    <w:p>
      <w:pPr>
        <w:spacing w:after="0"/>
      </w:pPr>
    </w:p>
    <w:p>
      <w:pPr/>
      <w:r>
        <w:t>这些旧记录不能并入本轮配对均值。B4 的极小单次差值并未证明稳定收益。关于历史 CNN 89.60% 与 RSCNet 90.01% 的记录，本轮已有重新训练的教师结果，下一页将以本轮实际值评价，避免把历史分数当作当前教师能力。</w:t>
      </w:r>
    </w:p>
    <w:p>
      <w:r>
        <w:br w:type="page"/>
      </w:r>
    </w:p>
    <w:p>
      <w:pPr>
        <w:pStyle w:val="Heading1"/>
      </w:pPr>
      <w:r>
        <w:t>5 两位教师的实际表现</w:t>
      </w:r>
    </w:p>
    <w:tbl>
      <w:tblPr>
        <w:tblW w:type="auto" w:w="0"/>
        <w:tblLayout w:type="fixed"/>
        <w:tblLook w:firstColumn="1" w:firstRow="1" w:lastColumn="0" w:lastRow="0" w:noHBand="0" w:noVBand="1" w:val="04A0"/>
      </w:tblPr>
      <w:tblGrid>
        <w:gridCol w:w="422"/>
        <w:gridCol w:w="3614"/>
        <w:gridCol w:w="1265"/>
        <w:gridCol w:w="1265"/>
        <w:gridCol w:w="1626"/>
        <w:gridCol w:w="1446"/>
      </w:tblGrid>
      <w:tr>
        <w:trPr>
          <w:cantSplit/>
          <w:tblHeader/>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组</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方法</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OA %</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AA %</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Kappa ×100</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参数</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T1</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RSCNet 教师</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91.6373</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92.4472</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90.9206</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3,339,493</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T2</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CNN 教师</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89.6040</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91.0502</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88.7088</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548,751</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F0</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F0 原版直接融合</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88.8907</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90.5427</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87.9355</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80,887</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整体双向交互</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89.2761</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90.9362</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88.3540</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bl>
    <w:p>
      <w:pPr>
        <w:spacing w:after="0"/>
      </w:pPr>
    </w:p>
    <w:tbl>
      <w:tblPr>
        <w:tblW w:type="auto" w:w="0"/>
        <w:tblLayout w:type="fixed"/>
        <w:tblLook w:firstColumn="1" w:firstRow="1" w:lastColumn="0" w:lastRow="0" w:noHBand="0" w:noVBand="1" w:val="04A0"/>
      </w:tblPr>
      <w:tblGrid>
        <w:gridCol w:w="2268"/>
        <w:gridCol w:w="2268"/>
        <w:gridCol w:w="5102"/>
      </w:tblGrid>
      <w:tr>
        <w:trPr>
          <w:cantSplit/>
          <w:tblHeader/>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教师对照</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OA 差值 百分点</w:t>
            </w:r>
          </w:p>
        </w:tc>
        <w:tc>
          <w:tcPr>
            <w:tcW w:type="dxa" w:w="5102"/>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解读</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T1 RSCNet−F4</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+2.3612</w:t>
            </w:r>
          </w:p>
        </w:tc>
        <w:tc>
          <w:tcPr>
            <w:tcW w:type="dxa" w:w="51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主教师相对交互学生的独立分类表现</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T2 CNN−F4</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+0.3279</w:t>
            </w:r>
          </w:p>
        </w:tc>
        <w:tc>
          <w:tcPr>
            <w:tcW w:type="dxa" w:w="51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同输入教师相对交互学生的表现</w:t>
            </w:r>
          </w:p>
        </w:tc>
      </w:tr>
      <w:tr>
        <w:trPr>
          <w:cantSplit/>
        </w:trPr>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T1−T2</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+2.0333</w:t>
            </w:r>
          </w:p>
        </w:tc>
        <w:tc>
          <w:tcPr>
            <w:tcW w:type="dxa" w:w="51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含结构与输入信息量的共同差异</w:t>
            </w:r>
          </w:p>
        </w:tc>
      </w:tr>
    </w:tbl>
    <w:p>
      <w:pPr>
        <w:spacing w:after="0"/>
      </w:pPr>
    </w:p>
    <w:p>
      <w:pPr/>
      <w:r>
        <w:t>两位教师在学生训练前分别完成 100 轮训练，并固定 checkpoint。教师选择基于实验室已有实现与历史记录；温度、权重和对照组在新结果出来前已经固定，没有依据学生测试成绩更换教师或搜索参数。</w:t>
      </w:r>
    </w:p>
    <w:p>
      <w:pPr/>
      <w:r>
        <w:t>教师独立准确率高，并不保证它传给学生的概率分布最容易学习；反过来，一位教师未超过学生，也不能提前保证蒸馏有益。是否值得使用，须看对应学生与不蒸馏基线的差值，并结合标签平滑对照。</w:t>
      </w:r>
    </w:p>
    <w:p>
      <w:pPr>
        <w:pStyle w:val="Heading2"/>
      </w:pPr>
      <w:r>
        <w:t>模型大小和部署代价</w:t>
      </w:r>
    </w:p>
    <w:p>
      <w:pPr/>
      <w:r>
        <w:t>本地 RSCNet 有 3,339,493 个参数，CNN 有 548,751 个。这里是本地实现的实际计数，不能替换成原论文参数数目。B0 学生为 80,887 个参数，F4 为 97,657 个。蒸馏后的学生与各自未蒸馏版本参数量相同。</w:t>
      </w:r>
    </w:p>
    <w:p>
      <w:pPr/>
      <w:r>
        <w:t>这种方法把额外成本放在训练阶段：先训练教师，再在学生每一步计算教师输出。本轮没有开展标准化推理计时，因此只能确认学生结构和参数量没有增加，不能进一步声称实际时延或能耗完全不变。</w:t>
      </w:r>
    </w:p>
    <w:p>
      <w:r>
        <w:br w:type="page"/>
      </w:r>
    </w:p>
    <w:p>
      <w:pPr>
        <w:pStyle w:val="Heading1"/>
      </w:pPr>
      <w:r>
        <w:t>6 新增蒸馏对照如何设计</w:t>
      </w:r>
    </w:p>
    <w:tbl>
      <w:tblPr>
        <w:tblW w:type="auto" w:w="0"/>
        <w:tblLayout w:type="fixed"/>
        <w:tblLook w:firstColumn="1" w:firstRow="1" w:lastColumn="0" w:lastRow="0" w:noHBand="0" w:noVBand="1" w:val="04A0"/>
      </w:tblPr>
      <w:tblGrid>
        <w:gridCol w:w="567"/>
        <w:gridCol w:w="4535"/>
        <w:gridCol w:w="4535"/>
      </w:tblGrid>
      <w:tr>
        <w:trPr>
          <w:cantSplit/>
          <w:tblHeader/>
        </w:trPr>
        <w:tc>
          <w:tcPr>
            <w:tcW w:type="dxa" w:w="567"/>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组</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学生与训练方法</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主要回答的问题</w:t>
            </w:r>
          </w:p>
        </w:tc>
      </w:tr>
      <w:tr>
        <w:trPr>
          <w:cantSplit/>
        </w:trPr>
        <w:tc>
          <w:tcPr>
            <w:tcW w:type="dxa" w:w="56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K1</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B0 向 RSCNet 蒸馏</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直接融合能否单独受益</w:t>
            </w:r>
          </w:p>
        </w:tc>
      </w:tr>
      <w:tr>
        <w:trPr>
          <w:cantSplit/>
        </w:trPr>
        <w:tc>
          <w:tcPr>
            <w:tcW w:type="dxa" w:w="56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K2</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向 RSCNet 蒸馏</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交互与蒸馏能否一起使用</w:t>
            </w:r>
          </w:p>
        </w:tc>
      </w:tr>
      <w:tr>
        <w:trPr>
          <w:cantSplit/>
        </w:trPr>
        <w:tc>
          <w:tcPr>
            <w:tcW w:type="dxa" w:w="56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K3</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向 CNN 蒸馏</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教师选择是否影响效果</w:t>
            </w:r>
          </w:p>
        </w:tc>
      </w:tr>
      <w:tr>
        <w:trPr>
          <w:cantSplit/>
        </w:trPr>
        <w:tc>
          <w:tcPr>
            <w:tcW w:type="dxa" w:w="56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K4</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只学习高置信 RSCNet 输出</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过滤不确定输出是否有帮助</w:t>
            </w:r>
          </w:p>
        </w:tc>
      </w:tr>
      <w:tr>
        <w:trPr>
          <w:cantSplit/>
        </w:trPr>
        <w:tc>
          <w:tcPr>
            <w:tcW w:type="dxa" w:w="56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C1</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标签平滑 无教师</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收益是否也能由简单正则化获得</w:t>
            </w:r>
          </w:p>
        </w:tc>
      </w:tr>
    </w:tbl>
    <w:p>
      <w:pPr>
        <w:spacing w:after="0"/>
      </w:pPr>
    </w:p>
    <w:p>
      <w:pPr>
        <w:pStyle w:val="Heading2"/>
      </w:pPr>
      <w:r>
        <w:t>固定损失和参数</w:t>
      </w:r>
    </w:p>
    <w:p>
      <w:pPr/>
      <w:r>
        <w:t>普通组使用 L = CE + 0.3 × T² × KL，其中 T=4，KL 的方向是教师分布对学生分布。CE 让学生遵守真实标签；KL 让学生学习教师概率之间的关系；温度提高后，原本很小的类别概率更容易被学生观察到。</w:t>
      </w:r>
    </w:p>
    <w:p>
      <w:pPr/>
      <w:r>
        <w:t>K4 以温度 1 下教师最大概率是否达到 0.7 作为门槛，只在接受的样本上平均 KL。若一个 batch 全部不接受，则只使用 CE。这是置信过滤，不保证排除所有错误：教师也可能自信地预测错误。C1 使用 epsilon=0.1 的标签平滑，让真实标签保留较高权重，其他类别也获得少量目标概率。</w:t>
      </w:r>
    </w:p>
    <w:p>
      <w:pPr>
        <w:pStyle w:val="Heading2"/>
      </w:pPr>
      <w:r>
        <w:t>保留实验室流程</w:t>
      </w:r>
    </w:p>
    <w:p>
      <w:pPr/>
      <w:r>
        <w:t>训练器仅增加可选损失回调和结束诊断回调；默认训练仍使用原 CE。优化器仍只接收学生参数，数据增强、训练循环、测试、checkpoint 规则均沿用原流程。蒸馏系数、温度和阈值没有按测试分数继续调整。</w:t>
      </w:r>
    </w:p>
    <w:p>
      <w:pPr/>
      <w:r>
        <w:t>10 项接口测试与原生模型 GPU 预检已在正式蒸馏前通过，覆盖 KL 方向与温度缩放、零蒸馏权重、全拒绝、教师无梯度、配置兼容和保存恢复。它们验证实现能按设计运行，不代替性能实验。蒸馏公式参考 Hinton 等的原始工作，来源列于末页。</w:t>
      </w:r>
    </w:p>
    <w:p>
      <w:r>
        <w:br w:type="page"/>
      </w:r>
    </w:p>
    <w:p>
      <w:pPr>
        <w:pStyle w:val="Heading1"/>
      </w:pPr>
      <w:r>
        <w:t>7 新增蒸馏实验的完整结果</w:t>
      </w:r>
    </w:p>
    <w:tbl>
      <w:tblPr>
        <w:tblW w:type="auto" w:w="0"/>
        <w:tblLayout w:type="fixed"/>
        <w:tblLook w:firstColumn="1" w:firstRow="1" w:lastColumn="0" w:lastRow="0" w:noHBand="0" w:noVBand="1" w:val="04A0"/>
      </w:tblPr>
      <w:tblGrid>
        <w:gridCol w:w="422"/>
        <w:gridCol w:w="3614"/>
        <w:gridCol w:w="1265"/>
        <w:gridCol w:w="1265"/>
        <w:gridCol w:w="1626"/>
        <w:gridCol w:w="1446"/>
      </w:tblGrid>
      <w:tr>
        <w:trPr>
          <w:cantSplit/>
          <w:tblHeader/>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组</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方法</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OA %</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AA %</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Kappa ×100</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参数</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F0</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F0 原版直接融合</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88.8907</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90.5427</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87.9355</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80,887</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整体双向交互</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89.2761</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90.9362</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88.3540</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K1</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B0 + RSC 蒸馏</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88.6202</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90.3717</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87.6429</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80,887</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K2</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 RSC 蒸馏</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89.0547</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90.7252</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88.1150</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K3</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 CNN 蒸馏</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88.8579</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90.5645</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87.9154</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K4</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 RSC 置信过滤</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89.0055</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90.6879</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88.0616</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r>
        <w:trPr>
          <w:cantSplit/>
        </w:trPr>
        <w:tc>
          <w:tcPr>
            <w:tcW w:type="dxa" w:w="42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C1</w:t>
            </w:r>
          </w:p>
        </w:tc>
        <w:tc>
          <w:tcPr>
            <w:tcW w:type="dxa" w:w="361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 + 标签平滑</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89.4072</w:t>
            </w:r>
          </w:p>
        </w:tc>
        <w:tc>
          <w:tcPr>
            <w:tcW w:type="dxa" w:w="126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91.0987</w:t>
            </w:r>
          </w:p>
        </w:tc>
        <w:tc>
          <w:tcPr>
            <w:tcW w:type="dxa" w:w="162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88.4977</w:t>
            </w:r>
          </w:p>
        </w:tc>
        <w:tc>
          <w:tcPr>
            <w:tcW w:type="dxa" w:w="1446"/>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bl>
    <w:p>
      <w:pPr>
        <w:spacing w:after="0"/>
      </w:pPr>
    </w:p>
    <w:p>
      <w:r>
        <w:drawing>
          <wp:inline xmlns:a="http://schemas.openxmlformats.org/drawingml/2006/main" xmlns:pic="http://schemas.openxmlformats.org/drawingml/2006/picture">
            <wp:extent cx="6048000" cy="2730489"/>
            <wp:docPr id="1" name="Picture 1"/>
            <wp:cNvGraphicFramePr>
              <a:graphicFrameLocks noChangeAspect="1"/>
            </wp:cNvGraphicFramePr>
            <a:graphic>
              <a:graphicData uri="http://schemas.openxmlformats.org/drawingml/2006/picture">
                <pic:pic>
                  <pic:nvPicPr>
                    <pic:cNvPr id="0" name="关键对照差值.png"/>
                    <pic:cNvPicPr/>
                  </pic:nvPicPr>
                  <pic:blipFill>
                    <a:blip r:embed="rId11"/>
                    <a:stretch>
                      <a:fillRect/>
                    </a:stretch>
                  </pic:blipFill>
                  <pic:spPr>
                    <a:xfrm>
                      <a:off x="0" y="0"/>
                      <a:ext cx="6048000" cy="2730489"/>
                    </a:xfrm>
                    <a:prstGeom prst="rect"/>
                  </pic:spPr>
                </pic:pic>
              </a:graphicData>
            </a:graphic>
          </wp:inline>
        </w:drawing>
      </w:r>
    </w:p>
    <w:p>
      <w:pPr>
        <w:pStyle w:val="Caption"/>
      </w:pPr>
      <w:r>
        <w:t>图 1  预先固定的 OA 对照差值  所有方法为同一 seed6 原流程</w:t>
      </w:r>
    </w:p>
    <w:p>
      <w:pPr/>
      <w:r>
        <w:t>四组蒸馏均未超过各自未蒸馏基线，本轮固定方案没有带来准确率提升。F4 向 RSCNet 蒸馏后 OA 下降 0.2214 个百分点，标签平滑相对 F4 为 +0.1312 个百分点。当前应保留轻量对照，暂不将普通蒸馏作为有效创新；这不等于否定所有可能的蒸馏方法。</w:t>
      </w:r>
    </w:p>
    <w:p>
      <w:pPr/>
      <w:r>
        <w:t>K3 相对 F4 为 -0.4181 个百分点。K4 相对普通 RSC 蒸馏 K2 为 -0.0492 个百分点。负值意味着该固定设置没有得到更高 OA，不能将失败组从报告中移除。AA 和 Kappa 同时列出，避免只看 OA 忽略类别不均衡。</w:t>
      </w:r>
    </w:p>
    <w:p>
      <w:r>
        <w:br w:type="page"/>
      </w:r>
    </w:p>
    <w:p>
      <w:pPr>
        <w:pStyle w:val="Heading1"/>
      </w:pPr>
      <w:r>
        <w:t>8 收益能归因于什么</w:t>
      </w:r>
    </w:p>
    <w:tbl>
      <w:tblPr>
        <w:tblW w:type="auto" w:w="0"/>
        <w:tblLayout w:type="fixed"/>
        <w:tblLook w:firstColumn="1" w:firstRow="1" w:lastColumn="0" w:lastRow="0" w:noHBand="0" w:noVBand="1" w:val="04A0"/>
      </w:tblPr>
      <w:tblGrid>
        <w:gridCol w:w="1701"/>
        <w:gridCol w:w="2268"/>
        <w:gridCol w:w="5669"/>
      </w:tblGrid>
      <w:tr>
        <w:trPr>
          <w:cantSplit/>
          <w:tblHeader/>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关键比较</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OA 差值 百分点</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能够检验的范围</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K1−F0</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-0.2706</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RSC 蒸馏对直接融合的效果</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K2−F4</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-0.2214</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RSC 蒸馏对交互模型的效果</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K2−K1</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+0.4345</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在相同教师指导下两种学生的差异</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K2−K3</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+0.1968</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两种教师的实用效果差异</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K4−K2</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-0.0492</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当前置信过滤规则的效果</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K2−C1</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-0.3525</w:t>
            </w:r>
          </w:p>
        </w:tc>
        <w:tc>
          <w:tcPr>
            <w:tcW w:type="dxa" w:w="5669"/>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教师目标相对标签平滑的效果</w:t>
            </w:r>
          </w:p>
        </w:tc>
      </w:tr>
    </w:tbl>
    <w:p>
      <w:pPr>
        <w:spacing w:after="0"/>
      </w:pPr>
    </w:p>
    <w:p>
      <w:pPr/>
      <w:r>
        <w:t>不能只凭“蒸馏后超过旧 B0”就认定蒸馏和交互都有效。K2 与 F4 控制学生结构，K1 与 F0 检查无交互时是否也受益；K2 与 K1 则反映有教师条件下，F4 相对 B0 的表现。它们共同帮助分离不同因素，但单次结果仍不能证明稳定的机制贡献。</w:t>
      </w:r>
    </w:p>
    <w:p>
      <w:pPr>
        <w:pStyle w:val="Heading2"/>
      </w:pPr>
      <w:r>
        <w:t>过滤实际启用了多少</w:t>
      </w:r>
    </w:p>
    <w:p>
      <w:pPr/>
      <w:r>
        <w:t>K4 在全部增强训练样本中的接受比例为 100.00%，没有拒绝任何样本，因此本轮 0.7 阈值并未形成有效过滤。教师在这些训练 batch 上的正确率也是 100%，不能用它推断未见区域的可靠性。K4 与 K2 实际使用相同目标，二者 -0.0492 个百分点的差别不能解释为门控收益。旧流程没有采用严格确定性设置，具体数值差异来源未单独定位。</w:t>
      </w:r>
    </w:p>
    <w:tbl>
      <w:tblPr>
        <w:tblW w:type="auto" w:w="0"/>
        <w:tblLayout w:type="fixed"/>
        <w:tblLook w:firstColumn="1" w:firstRow="1" w:lastColumn="0" w:lastRow="0" w:noHBand="0" w:noVBand="1" w:val="04A0"/>
      </w:tblPr>
      <w:tblGrid>
        <w:gridCol w:w="850"/>
        <w:gridCol w:w="2268"/>
        <w:gridCol w:w="2268"/>
        <w:gridCol w:w="4252"/>
      </w:tblGrid>
      <w:tr>
        <w:trPr>
          <w:cantSplit/>
          <w:tblHeader/>
        </w:trPr>
        <w:tc>
          <w:tcPr>
            <w:tcW w:type="dxa" w:w="850"/>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组</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平均 CE</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平均 KD</w:t>
            </w:r>
          </w:p>
        </w:tc>
        <w:tc>
          <w:tcPr>
            <w:tcW w:type="dxa" w:w="4252"/>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教师输出接受率</w:t>
            </w:r>
          </w:p>
        </w:tc>
      </w:tr>
      <w:tr>
        <w:trPr>
          <w:cantSplit/>
        </w:trPr>
        <w:tc>
          <w:tcPr>
            <w:tcW w:type="dxa" w:w="85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K1</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0.49001</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2.08246</w:t>
            </w:r>
          </w:p>
        </w:tc>
        <w:tc>
          <w:tcPr>
            <w:tcW w:type="dxa" w:w="425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100.00%</w:t>
            </w:r>
          </w:p>
        </w:tc>
      </w:tr>
      <w:tr>
        <w:trPr>
          <w:cantSplit/>
        </w:trPr>
        <w:tc>
          <w:tcPr>
            <w:tcW w:type="dxa" w:w="85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K2</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0.48743</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2.07328</w:t>
            </w:r>
          </w:p>
        </w:tc>
        <w:tc>
          <w:tcPr>
            <w:tcW w:type="dxa" w:w="425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100.00%</w:t>
            </w:r>
          </w:p>
        </w:tc>
      </w:tr>
      <w:tr>
        <w:trPr>
          <w:cantSplit/>
        </w:trPr>
        <w:tc>
          <w:tcPr>
            <w:tcW w:type="dxa" w:w="85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K3</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0.58461</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10.06234</w:t>
            </w:r>
          </w:p>
        </w:tc>
        <w:tc>
          <w:tcPr>
            <w:tcW w:type="dxa" w:w="425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100.00%</w:t>
            </w:r>
          </w:p>
        </w:tc>
      </w:tr>
      <w:tr>
        <w:trPr>
          <w:cantSplit/>
        </w:trPr>
        <w:tc>
          <w:tcPr>
            <w:tcW w:type="dxa" w:w="85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K4</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0.48754</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2.07347</w:t>
            </w:r>
          </w:p>
        </w:tc>
        <w:tc>
          <w:tcPr>
            <w:tcW w:type="dxa" w:w="425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100.00%</w:t>
            </w:r>
          </w:p>
        </w:tc>
      </w:tr>
      <w:tr>
        <w:trPr>
          <w:cantSplit/>
        </w:trPr>
        <w:tc>
          <w:tcPr>
            <w:tcW w:type="dxa" w:w="850"/>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C1</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0.96243</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0.00000</w:t>
            </w:r>
          </w:p>
        </w:tc>
        <w:tc>
          <w:tcPr>
            <w:tcW w:type="dxa" w:w="425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无教师</w:t>
            </w:r>
          </w:p>
        </w:tc>
      </w:tr>
    </w:tbl>
    <w:p>
      <w:pPr>
        <w:spacing w:after="0"/>
      </w:pPr>
    </w:p>
    <w:p>
      <w:pPr/>
      <w:r>
        <w:t>标签平滑是实用的软目标正则化对照，不能严格匹配教师 KL 的所有梯度。本轮它优于四种蒸馏学生，但仍只增加了单次的小幅 OA，不能据此认定稳定有效。常规 KL 蒸馏和双向交互本身已有研究基础，不能仅因把两者组合就宣布论文创新成立。</w:t>
      </w:r>
    </w:p>
    <w:p>
      <w:r>
        <w:br w:type="page"/>
      </w:r>
    </w:p>
    <w:p>
      <w:pPr>
        <w:pStyle w:val="Heading1"/>
      </w:pPr>
      <w:r>
        <w:t>9 哪些类别受益和受损</w:t>
      </w:r>
    </w:p>
    <w:p>
      <w:r>
        <w:drawing>
          <wp:inline xmlns:a="http://schemas.openxmlformats.org/drawingml/2006/main" xmlns:pic="http://schemas.openxmlformats.org/drawingml/2006/picture">
            <wp:extent cx="6048000" cy="3247068"/>
            <wp:docPr id="2" name="Picture 2"/>
            <wp:cNvGraphicFramePr>
              <a:graphicFrameLocks noChangeAspect="1"/>
            </wp:cNvGraphicFramePr>
            <a:graphic>
              <a:graphicData uri="http://schemas.openxmlformats.org/drawingml/2006/picture">
                <pic:pic>
                  <pic:nvPicPr>
                    <pic:cNvPr id="0" name="逐类召回率变化.png"/>
                    <pic:cNvPicPr/>
                  </pic:nvPicPr>
                  <pic:blipFill>
                    <a:blip r:embed="rId12"/>
                    <a:stretch>
                      <a:fillRect/>
                    </a:stretch>
                  </pic:blipFill>
                  <pic:spPr>
                    <a:xfrm>
                      <a:off x="0" y="0"/>
                      <a:ext cx="6048000" cy="3247068"/>
                    </a:xfrm>
                    <a:prstGeom prst="rect"/>
                  </pic:spPr>
                </pic:pic>
              </a:graphicData>
            </a:graphic>
          </wp:inline>
        </w:drawing>
      </w:r>
    </w:p>
    <w:p>
      <w:pPr>
        <w:pStyle w:val="Caption"/>
      </w:pPr>
      <w:r>
        <w:t>图 2  各训练方法相对自身未蒸馏基线的逐类召回率变化</w:t>
      </w:r>
    </w:p>
    <w:tbl>
      <w:tblPr>
        <w:tblW w:type="auto" w:w="0"/>
        <w:tblLayout w:type="fixed"/>
        <w:tblLook w:firstColumn="1" w:firstRow="1" w:lastColumn="0" w:lastRow="0" w:noHBand="0" w:noVBand="1" w:val="04A0"/>
      </w:tblPr>
      <w:tblGrid>
        <w:gridCol w:w="2835"/>
        <w:gridCol w:w="2268"/>
        <w:gridCol w:w="2268"/>
        <w:gridCol w:w="2268"/>
      </w:tblGrid>
      <w:tr>
        <w:trPr>
          <w:cantSplit/>
          <w:tblHeader/>
        </w:trPr>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类别</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F4 召回率</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K2 召回率</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K2−F4 百分点</w:t>
            </w:r>
          </w:p>
        </w:tc>
      </w:tr>
      <w:tr>
        <w:trPr>
          <w:cantSplit/>
        </w:trPr>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铁路</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94.9715</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97.6281</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+2.6565</w:t>
            </w:r>
          </w:p>
        </w:tc>
      </w:tr>
      <w:tr>
        <w:trPr>
          <w:cantSplit/>
        </w:trPr>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住宅</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82.7425</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84.1418</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+1.3993</w:t>
            </w:r>
          </w:p>
        </w:tc>
      </w:tr>
      <w:tr>
        <w:trPr>
          <w:cantSplit/>
        </w:trPr>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高速公路</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67.6641</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68.2432</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+0.5792</w:t>
            </w:r>
          </w:p>
        </w:tc>
      </w:tr>
      <w:tr>
        <w:trPr>
          <w:cantSplit/>
        </w:trPr>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树木</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81.4394</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79.9242</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-1.5152</w:t>
            </w:r>
          </w:p>
        </w:tc>
      </w:tr>
      <w:tr>
        <w:trPr>
          <w:cantSplit/>
        </w:trPr>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道路</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94.7120</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92.2568</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-2.4551</w:t>
            </w:r>
          </w:p>
        </w:tc>
      </w:tr>
      <w:tr>
        <w:trPr>
          <w:cantSplit/>
        </w:trPr>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健康草地</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80.1519</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77.6828</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-2.4691</w:t>
            </w:r>
          </w:p>
        </w:tc>
      </w:tr>
    </w:tbl>
    <w:p>
      <w:pPr>
        <w:spacing w:after="0"/>
      </w:pPr>
    </w:p>
    <w:p>
      <w:pPr/>
      <w:r>
        <w:t>表中选取 K2−F4 排名前三与末三的类别，选择规则明确；完整 15 类指标保存在逐类召回率.csv。颜色表示召回率变化，不能解释为同一像素被纠正的比例，因为本报告复核的是混淆矩阵，没有重新运行推理或逐样本配对纠错。</w:t>
      </w:r>
    </w:p>
    <w:p>
      <w:pPr/>
      <w:r>
        <w:t>如果 OA 增加而某些类别下降，应如实保留。AA 有助于观察各类平均表现，但也不能替代具体业务类别要求。这里的类别分析是在看过测试结果后进行，只能为下一轮假设提供线索，不能反过来据此选择阈值并声称独立验证。</w:t>
      </w:r>
    </w:p>
    <w:p>
      <w:r>
        <w:br w:type="page"/>
      </w:r>
    </w:p>
    <w:p>
      <w:pPr>
        <w:pStyle w:val="Heading1"/>
      </w:pPr>
      <w:r>
        <w:t>10 验证选模的三种子融合实验</w:t>
      </w:r>
    </w:p>
    <w:tbl>
      <w:tblPr>
        <w:tblW w:type="auto" w:w="0"/>
        <w:tblLayout w:type="fixed"/>
        <w:tblLook w:firstColumn="1" w:firstRow="1" w:lastColumn="0" w:lastRow="0" w:noHBand="0" w:noVBand="1" w:val="04A0"/>
      </w:tblPr>
      <w:tblGrid>
        <w:gridCol w:w="397"/>
        <w:gridCol w:w="2835"/>
        <w:gridCol w:w="2268"/>
        <w:gridCol w:w="1247"/>
        <w:gridCol w:w="1587"/>
        <w:gridCol w:w="1304"/>
      </w:tblGrid>
      <w:tr>
        <w:trPr>
          <w:cantSplit/>
          <w:tblHeader/>
        </w:trPr>
        <w:tc>
          <w:tcPr>
            <w:tcW w:type="dxa" w:w="397"/>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组</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方法</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OA 均值±样本SD</w:t>
            </w:r>
          </w:p>
        </w:tc>
        <w:tc>
          <w:tcPr>
            <w:tcW w:type="dxa" w:w="1247"/>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AA 均值</w:t>
            </w:r>
          </w:p>
        </w:tc>
        <w:tc>
          <w:tcPr>
            <w:tcW w:type="dxa" w:w="1587"/>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Kappa 均值</w:t>
            </w:r>
          </w:p>
        </w:tc>
        <w:tc>
          <w:tcPr>
            <w:tcW w:type="dxa" w:w="1304"/>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相对 F0</w:t>
            </w:r>
          </w:p>
        </w:tc>
      </w:tr>
      <w:tr>
        <w:trPr>
          <w:cantSplit/>
        </w:trPr>
        <w:tc>
          <w:tcPr>
            <w:tcW w:type="dxa" w:w="39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F0</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原始拼接</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85.327 ± 2.883</w:t>
            </w:r>
          </w:p>
        </w:tc>
        <w:tc>
          <w:tcPr>
            <w:tcW w:type="dxa" w:w="124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87.738</w:t>
            </w:r>
          </w:p>
        </w:tc>
        <w:tc>
          <w:tcPr>
            <w:tcW w:type="dxa" w:w="158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84.067</w:t>
            </w:r>
          </w:p>
        </w:tc>
        <w:tc>
          <w:tcPr>
            <w:tcW w:type="dxa" w:w="130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+0.000</w:t>
            </w:r>
          </w:p>
        </w:tc>
      </w:tr>
      <w:tr>
        <w:trPr>
          <w:cantSplit/>
        </w:trPr>
        <w:tc>
          <w:tcPr>
            <w:tcW w:type="dxa" w:w="39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F1</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辅助自增强（容量对照）</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85.671 ± 2.036</w:t>
            </w:r>
          </w:p>
        </w:tc>
        <w:tc>
          <w:tcPr>
            <w:tcW w:type="dxa" w:w="124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88.035</w:t>
            </w:r>
          </w:p>
        </w:tc>
        <w:tc>
          <w:tcPr>
            <w:tcW w:type="dxa" w:w="158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84.441</w:t>
            </w:r>
          </w:p>
        </w:tc>
        <w:tc>
          <w:tcPr>
            <w:tcW w:type="dxa" w:w="130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+0.344</w:t>
            </w:r>
          </w:p>
        </w:tc>
      </w:tr>
      <w:tr>
        <w:trPr>
          <w:cantSplit/>
        </w:trPr>
        <w:tc>
          <w:tcPr>
            <w:tcW w:type="dxa" w:w="39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F2</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辅助→HSI</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85.436 ± 2.148</w:t>
            </w:r>
          </w:p>
        </w:tc>
        <w:tc>
          <w:tcPr>
            <w:tcW w:type="dxa" w:w="124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87.795</w:t>
            </w:r>
          </w:p>
        </w:tc>
        <w:tc>
          <w:tcPr>
            <w:tcW w:type="dxa" w:w="158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84.184</w:t>
            </w:r>
          </w:p>
        </w:tc>
        <w:tc>
          <w:tcPr>
            <w:tcW w:type="dxa" w:w="130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+0.109</w:t>
            </w:r>
          </w:p>
        </w:tc>
      </w:tr>
      <w:tr>
        <w:trPr>
          <w:cantSplit/>
        </w:trPr>
        <w:tc>
          <w:tcPr>
            <w:tcW w:type="dxa" w:w="39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F3</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HSI→辅助</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85.067 ± 3.381</w:t>
            </w:r>
          </w:p>
        </w:tc>
        <w:tc>
          <w:tcPr>
            <w:tcW w:type="dxa" w:w="124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87.549</w:t>
            </w:r>
          </w:p>
        </w:tc>
        <w:tc>
          <w:tcPr>
            <w:tcW w:type="dxa" w:w="158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83.785</w:t>
            </w:r>
          </w:p>
        </w:tc>
        <w:tc>
          <w:tcPr>
            <w:tcW w:type="dxa" w:w="130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-0.260</w:t>
            </w:r>
          </w:p>
        </w:tc>
      </w:tr>
      <w:tr>
        <w:trPr>
          <w:cantSplit/>
        </w:trPr>
        <w:tc>
          <w:tcPr>
            <w:tcW w:type="dxa" w:w="39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F4</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整体双向交互</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85.767 ± 3.173</w:t>
            </w:r>
          </w:p>
        </w:tc>
        <w:tc>
          <w:tcPr>
            <w:tcW w:type="dxa" w:w="124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88.090</w:t>
            </w:r>
          </w:p>
        </w:tc>
        <w:tc>
          <w:tcPr>
            <w:tcW w:type="dxa" w:w="158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84.544</w:t>
            </w:r>
          </w:p>
        </w:tc>
        <w:tc>
          <w:tcPr>
            <w:tcW w:type="dxa" w:w="130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+0.440</w:t>
            </w:r>
          </w:p>
        </w:tc>
      </w:tr>
      <w:tr>
        <w:trPr>
          <w:cantSplit/>
        </w:trPr>
        <w:tc>
          <w:tcPr>
            <w:tcW w:type="dxa" w:w="39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F5</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全局/局部分工交互</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85.595 ± 3.180</w:t>
            </w:r>
          </w:p>
        </w:tc>
        <w:tc>
          <w:tcPr>
            <w:tcW w:type="dxa" w:w="124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87.965</w:t>
            </w:r>
          </w:p>
        </w:tc>
        <w:tc>
          <w:tcPr>
            <w:tcW w:type="dxa" w:w="158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84.357</w:t>
            </w:r>
          </w:p>
        </w:tc>
        <w:tc>
          <w:tcPr>
            <w:tcW w:type="dxa" w:w="130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+0.268</w:t>
            </w:r>
          </w:p>
        </w:tc>
      </w:tr>
      <w:tr>
        <w:trPr>
          <w:cantSplit/>
        </w:trPr>
        <w:tc>
          <w:tcPr>
            <w:tcW w:type="dxa" w:w="39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F6</w:t>
            </w:r>
          </w:p>
        </w:tc>
        <w:tc>
          <w:tcPr>
            <w:tcW w:type="dxa" w:w="28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交换分工对照</w:t>
            </w:r>
          </w:p>
        </w:tc>
        <w:tc>
          <w:tcPr>
            <w:tcW w:type="dxa" w:w="2268"/>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85.860 ± 2.681</w:t>
            </w:r>
          </w:p>
        </w:tc>
        <w:tc>
          <w:tcPr>
            <w:tcW w:type="dxa" w:w="124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88.193</w:t>
            </w:r>
          </w:p>
        </w:tc>
        <w:tc>
          <w:tcPr>
            <w:tcW w:type="dxa" w:w="1587"/>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84.645</w:t>
            </w:r>
          </w:p>
        </w:tc>
        <w:tc>
          <w:tcPr>
            <w:tcW w:type="dxa" w:w="1304"/>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+0.533</w:t>
            </w:r>
          </w:p>
        </w:tc>
      </w:tr>
    </w:tbl>
    <w:p>
      <w:pPr>
        <w:spacing w:after="0"/>
      </w:pPr>
    </w:p>
    <w:p>
      <w:r>
        <w:drawing>
          <wp:inline xmlns:a="http://schemas.openxmlformats.org/drawingml/2006/main" xmlns:pic="http://schemas.openxmlformats.org/drawingml/2006/picture">
            <wp:extent cx="6048000" cy="2361504"/>
            <wp:docPr id="3" name="Picture 3"/>
            <wp:cNvGraphicFramePr>
              <a:graphicFrameLocks noChangeAspect="1"/>
            </wp:cNvGraphicFramePr>
            <a:graphic>
              <a:graphicData uri="http://schemas.openxmlformats.org/drawingml/2006/picture">
                <pic:pic>
                  <pic:nvPicPr>
                    <pic:cNvPr id="0" name="验证选模三种子.png"/>
                    <pic:cNvPicPr/>
                  </pic:nvPicPr>
                  <pic:blipFill>
                    <a:blip r:embed="rId13"/>
                    <a:stretch>
                      <a:fillRect/>
                    </a:stretch>
                  </pic:blipFill>
                  <pic:spPr>
                    <a:xfrm>
                      <a:off x="0" y="0"/>
                      <a:ext cx="6048000" cy="2361504"/>
                    </a:xfrm>
                    <a:prstGeom prst="rect"/>
                  </pic:spPr>
                </pic:pic>
              </a:graphicData>
            </a:graphic>
          </wp:inline>
        </w:drawing>
      </w:r>
    </w:p>
    <w:p>
      <w:pPr>
        <w:pStyle w:val="Caption"/>
      </w:pPr>
      <w:r>
        <w:t>图 3  验证选模批次的配对种子结果  与本轮原流程分开解释</w:t>
      </w:r>
    </w:p>
    <w:p>
      <w:pPr/>
      <w:r>
        <w:t>该批 F4−F0 平均为 +0.440 个百分点，三个种子均为正；F4−F1 平均仅 +0.096，2 胜 1 负。F4 的 OA 标准差 3.173 大于 F0 的 2.883，不能说 F4 整体更稳定。F5 比交换分工 F6 平均低 0.265，当前实现没有支持原全局局部分工假设。</w:t>
      </w:r>
    </w:p>
    <w:p>
      <w:pPr/>
      <w:r>
        <w:t>565 个验证中心均落在某个训练窗口内，验证窗口也均与训练窗口相交；21 次中 20 次最佳验证 OA 达到 100%。窗口重叠本身不等于使用测试标签，但说明随机验证过易。原流程则直接用测试 OA 选模；两套规则各有限制，都没有完成空间隔离的独立泛化确认。</w:t>
      </w:r>
    </w:p>
    <w:p>
      <w:r>
        <w:br w:type="page"/>
      </w:r>
    </w:p>
    <w:p>
      <w:pPr>
        <w:pStyle w:val="Heading1"/>
      </w:pPr>
      <w:r>
        <w:t>11 训练代价和科研定位</w:t>
      </w:r>
    </w:p>
    <w:tbl>
      <w:tblPr>
        <w:tblW w:type="auto" w:w="0"/>
        <w:tblLayout w:type="fixed"/>
        <w:tblLook w:firstColumn="1" w:firstRow="1" w:lastColumn="0" w:lastRow="0" w:noHBand="0" w:noVBand="1" w:val="04A0"/>
      </w:tblPr>
      <w:tblGrid>
        <w:gridCol w:w="1701"/>
        <w:gridCol w:w="4535"/>
        <w:gridCol w:w="3402"/>
      </w:tblGrid>
      <w:tr>
        <w:trPr>
          <w:cantSplit/>
          <w:tblHeader/>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新增组</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包含启动与预处理的作业耗时</w:t>
            </w:r>
          </w:p>
        </w:tc>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shd w:fill="244A70"/>
          </w:tcPr>
          <w:p>
            <w:pPr>
              <w:spacing w:line="264" w:lineRule="auto" w:after="40"/>
            </w:pPr>
            <w:r>
              <w:rPr>
                <w:b/>
                <w:color w:val="FFFFFF"/>
                <w:sz w:val="17"/>
              </w:rPr>
              <w:t>模型推理参数</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T1</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8.3 分钟</w:t>
            </w:r>
          </w:p>
        </w:tc>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3,339,493</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T2</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5.0 分钟</w:t>
            </w:r>
          </w:p>
        </w:tc>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548,751</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K1</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32.6 分钟</w:t>
            </w:r>
          </w:p>
        </w:tc>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80,887</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K2</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32.9 分钟</w:t>
            </w:r>
          </w:p>
        </w:tc>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K3</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29.6 分钟</w:t>
            </w:r>
          </w:p>
        </w:tc>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K4</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28.2 分钟</w:t>
            </w:r>
          </w:p>
        </w:tc>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r>
        <w:trPr>
          <w:cantSplit/>
        </w:trPr>
        <w:tc>
          <w:tcPr>
            <w:tcW w:type="dxa" w:w="1701"/>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C1</w:t>
            </w:r>
          </w:p>
        </w:tc>
        <w:tc>
          <w:tcPr>
            <w:tcW w:type="dxa" w:w="4535"/>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26.4 分钟</w:t>
            </w:r>
          </w:p>
        </w:tc>
        <w:tc>
          <w:tcPr>
            <w:tcW w:type="dxa" w:w="3402"/>
            <w:tcMar>
              <w:top w:w="60" w:type="dxa"/>
              <w:bottom w:w="60" w:type="dxa"/>
              <w:left w:w="60" w:type="dxa"/>
              <w:right w:w="60" w:type="dxa"/>
            </w:tcMar>
            <w:tcBorders>
              <w:top w:val="single" w:sz="4" w:color="D9D9D9"/>
              <w:bottom w:val="single" w:sz="4" w:color="D9D9D9"/>
              <w:left w:val="single" w:sz="4" w:color="D9D9D9"/>
              <w:right w:val="single" w:sz="4" w:color="D9D9D9"/>
            </w:tcBorders>
          </w:tcPr>
          <w:p>
            <w:pPr>
              <w:spacing w:line="264" w:lineRule="auto" w:after="40"/>
            </w:pPr>
            <w:r>
              <w:rPr>
                <w:b w:val="0"/>
                <w:sz w:val="17"/>
              </w:rPr>
              <w:t>97,657</w:t>
            </w:r>
          </w:p>
        </w:tc>
      </w:tr>
    </w:tbl>
    <w:p>
      <w:pPr>
        <w:spacing w:after="0"/>
      </w:pPr>
    </w:p>
    <w:p>
      <w:pPr/>
      <w:r>
        <w:t>新增 7 个作业总墙钟时间约 2.72 小时，包括读取数据、PCA、每轮测试、保存模型和启动开销。它不是纯 GPU 计算时间，不宜与旧批次记录的训练时间直接相除。教师训练及教师前向均为新增成本。</w:t>
      </w:r>
    </w:p>
    <w:p>
      <w:pPr>
        <w:pStyle w:val="Heading2"/>
      </w:pPr>
      <w:r>
        <w:t>现在可以怎样汇报</w:t>
      </w:r>
    </w:p>
    <w:p>
      <w:pPr/>
      <w:r>
        <w:t>在 Houston2013 原实验室流程的 seed6 对照中，F4 相对直接融合提高 +0.3853 个百分点，相对容量对照提高 +0.1804；RSC 蒸馏 K2 相对 F4 为 -0.2214，相对标签平滑为 -0.3525。学生参数量保持不变。以上为探索结果，选模使用测试集，尚不能称为统计显著或 SOTA。</w:t>
      </w:r>
    </w:p>
    <w:p>
      <w:pPr>
        <w:pStyle w:val="Heading2"/>
      </w:pPr>
      <w:r>
        <w:t>后续研究优先级</w:t>
      </w:r>
    </w:p>
    <w:p>
      <w:pPr/>
      <w:r>
        <w:t>先确认最值得保留的固定方法能否在新的预设种子与空间分组验证下复现，再考虑跨数据集。若蒸馏与标签平滑持平，应优先保留更简单的方案；若置信过滤无收益，不继续堆叠相近门控。若教师明显更强而学生未改善，应先检查容量与软目标可学习性，不应直接更换大量超参数试到提升。</w:t>
      </w:r>
    </w:p>
    <w:p>
      <w:pPr/>
      <w:r>
        <w:t>本报告不自动追加这些训练。可发展的具体问题是轻量且不对称的模态分支如何避免传递不可靠信息，而非笼统地“加交互”或“加蒸馏”。已有分数只能帮助筛选假设，机制解释仍需要预先设计的可靠性对照。</w:t>
      </w:r>
    </w:p>
    <w:p>
      <w:r>
        <w:br w:type="page"/>
      </w:r>
    </w:p>
    <w:p>
      <w:pPr>
        <w:pStyle w:val="Heading1"/>
      </w:pPr>
      <w:r>
        <w:t>12 数据来源与复核索引</w:t>
      </w:r>
    </w:p>
    <w:p>
      <w:pPr>
        <w:pStyle w:val="Heading2"/>
      </w:pPr>
      <w:r>
        <w:t>本地证据</w:t>
      </w:r>
    </w:p>
    <w:p>
      <w:pPr/>
      <w:r>
        <w:t>周末实验总汇.json 保存十组原流程指标、对照差值、21 次验证批次统计和核验结果。原流程十组结果.csv 可用于排序；逐类召回率.csv 保存完整类别比较；原始证据索引.csv 保存每组报告、checkpoint、配置及 SHA256。所有文件位于本报告所在目录。</w:t>
      </w:r>
    </w:p>
    <w:p>
      <w:pPr/>
      <w:r>
        <w:t>原三方法在加入蒸馏接口前已经封存，证据为原三方法最终验收.json。蒸馏批次的 manifest.json 保存接入后源码指纹；接入前原代码与蒸馏接口接入记录.json 保留修改记录。两批源码时期不同，不应因后续合法修改误判旧训练失真。</w:t>
      </w:r>
    </w:p>
    <w:p>
      <w:pPr/>
      <w:r>
        <w:t>新增七组均已核对原标准日志中的 100 轮完成记录、checkpoint 和 15×15 混淆矩阵。OA、AA、Kappa 由矩阵重新计算，每份测试总数均为 12197。五个学生对照均记录 2200 个损失步骤、281600 个增强样本；教师参数和 BN 状态不变、无梯度，且不进入学生 checkpoint。</w:t>
      </w:r>
    </w:p>
    <w:p>
      <w:pPr>
        <w:pStyle w:val="Heading2"/>
      </w:pPr>
      <w:r>
        <w:t>历史和论文来源</w:t>
      </w:r>
    </w:p>
    <w:p>
      <w:pPr/>
      <w:r>
        <w:t>历史 B0 与 B1 至 B4 背景来自本项目先前的综合评估报告及其证据目录，原路径 report/综合评估_20261025。历史 B0 的原始 checkpoint 尚未找回，不视为本轮重复训练。</w:t>
      </w:r>
    </w:p>
    <w:p>
      <w:pPr/>
      <w:r>
        <w:t>蒸馏原始论文：Hinton G 等，Distilling the Knowledge in a Neural Network，2015。https://arxiv.org/abs/1503.02531</w:t>
      </w:r>
    </w:p>
    <w:p>
      <w:pPr/>
      <w:r>
        <w:t>KL 实现接口：PyTorch functional.kl_div 官方文档。https://docs.pytorch.org/docs/stable/generated/torch.nn.functional.kl_div.html</w:t>
      </w:r>
    </w:p>
    <w:p>
      <w:pPr/>
      <w:r>
        <w:t>公开方法对照与既有交互文献详见先前综合评估报告。本轮 RSCNet 和 CNN 表格为本地实测；没有将论文作者分数混作本地 SOTA 排名。</w:t>
      </w:r>
    </w:p>
    <w:p>
      <w:pPr>
        <w:pStyle w:val="Heading2"/>
      </w:pPr>
      <w:r>
        <w:t>仍未获得的证据</w:t>
      </w:r>
    </w:p>
    <w:p>
      <w:pPr/>
      <w:r>
        <w:t>尚无蒸馏的多种子确认、空间隔离验证、独立测试、Berlin 或 SAR 泛化结果；没有标准化推理时延或能耗测量。整份报告包含成功与失败组，未因指标高低删除实验。Word 与 PDF 需经渲染逐页检查后才交付。</w:t>
      </w:r>
    </w:p>
    <w:sectPr w:rsidR="00FC693F" w:rsidRPr="0006063C" w:rsidSect="00034616">
      <w:headerReference w:type="default" r:id="rId9"/>
      <w:footerReference w:type="default" r:id="rId10"/>
      <w:pgSz w:w="11906" w:h="16838"/>
      <w:pgMar w:top="850" w:right="1134" w:bottom="850" w:left="113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 年 10 月 25 日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TransMixer 周末实验复盘  |  Houston2013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Microsoft YaHei" w:hAnsi="Microsoft YaHe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Microsoft YaHei" w:hAnsi="Microsoft YaHe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Microsoft YaHei" w:hAnsi="Microsoft YaHei" w:eastAsia="Microsoft YaHei"/>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TransMixer 周末融合与知识蒸馏实验全面报告</dc:title>
  <dc:subject/>
  <dc:creator>科研实验复盘</dc:creator>
  <cp:keywords/>
  <dc:description>generated by python-docx</dc:description>
  <cp:lastModifiedBy/>
  <cp:revision>1</cp:revision>
  <dcterms:created xsi:type="dcterms:W3CDTF">2013-12-23T23:15:00Z</dcterms:created>
  <dcterms:modified xsi:type="dcterms:W3CDTF">2013-12-23T23:15:00Z</dcterms:modified>
  <cp:category/>
</cp:coreProperties>
</file>