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29, 2026  |  T-10_sophisticated.txt</w:t>
      </w:r>
    </w:p>
    <w:p>
      <w:pPr>
        <w:spacing w:after="40"/>
      </w:pPr>
      <w:r>
        <w:rPr>
          <w:sz w:val="24"/>
          <w:b/>
          <w:color w:val="1A365D"/>
        </w:rPr>
        <w:t xml:space="preserve">Provisions Analyzed</w:t>
      </w:r>
    </w:p>
    <w:p>
      <w:pPr>
        <w:spacing w:after="20"/>
        <w:shd w:val="clear" w:color="auto" w:fill="FFF7ED"/>
        <w:pBdr>
          <w:top w:val="single" w:sz="4" w:space="1" w:color="E5E7EB"/>
          <w:left w:val="single" w:sz="12" w:space="1" w:color="C2410C"/>
          <w:bottom w:val="single" w:sz="4" w:space="1" w:color="E5E7EB"/>
          <w:right w:val="single" w:sz="4" w:space="1" w:color="E5E7EB"/>
        </w:pBdr>
      </w:pPr>
      <w:r>
        <w:rPr>
          <w:sz w:val="18"/>
          <w:color w:val="C2410C"/>
        </w:rPr>
        <w:t xml:space="preserve">  ● HIGH: LP-03 Term &amp; Renewal, LP-08 Requirements, LP-11 &amp; Remedies</w:t>
      </w:r>
    </w:p>
    <w:p>
      <w:pPr>
        <w:spacing w:after="20"/>
        <w:shd w:val="clear" w:color="auto" w:fill="FFFBEB"/>
        <w:pBdr>
          <w:top w:val="single" w:sz="4" w:space="1" w:color="E5E7EB"/>
          <w:left w:val="single" w:sz="12" w:space="1" w:color="D97706"/>
          <w:bottom w:val="single" w:sz="4" w:space="1" w:color="E5E7EB"/>
          <w:right w:val="single" w:sz="4" w:space="1" w:color="E5E7EB"/>
        </w:pBdr>
      </w:pPr>
      <w:r>
        <w:rPr>
          <w:sz w:val="18"/>
          <w:color w:val="D97706"/>
        </w:rPr>
        <w:t xml:space="preserve">  ○ MEDIUM: LP-06 &amp; Repairs</w:t>
      </w:r>
    </w:p>
    <w:p>
      <w:pPr>
        <w:spacing w:after="20"/>
        <w:shd w:val="clear" w:color="auto" w:fill="F8FAFC"/>
        <w:pBdr>
          <w:top w:val="single" w:sz="4" w:space="1" w:color="E5E7EB"/>
          <w:left w:val="single" w:sz="12" w:space="1" w:color="64748B"/>
          <w:bottom w:val="single" w:sz="4" w:space="1" w:color="E5E7EB"/>
          <w:right w:val="single" w:sz="4" w:space="1" w:color="E5E7EB"/>
        </w:pBdr>
      </w:pPr>
      <w:r>
        <w:rPr>
          <w:sz w:val="18"/>
          <w:color w:val="64748B"/>
        </w:rPr>
        <w:t xml:space="preserve">  – LOW: LP-13 &amp; Liability</w:t>
      </w:r>
    </w:p>
    <w:p>
      <w:pPr>
        <w:spacing w:after="20"/>
        <w:shd w:val="clear" w:color="auto" w:fill="F0FDF4"/>
        <w:pBdr>
          <w:top w:val="single" w:sz="4" w:space="1" w:color="E5E7EB"/>
          <w:left w:val="single" w:sz="12" w:space="1" w:color="16A34A"/>
          <w:bottom w:val="single" w:sz="4" w:space="1" w:color="E5E7EB"/>
          <w:right w:val="single" w:sz="4" w:space="1" w:color="E5E7EB"/>
        </w:pBdr>
      </w:pPr>
      <w:r>
        <w:rPr>
          <w:sz w:val="18"/>
          <w:color w:val="16A34A"/>
        </w:rPr>
        <w:t xml:space="preserve">  ✓ CONFORMS: LP-01 &amp; Payment Terms, LP-02 Escalation, LP-04 Deposit, LP-05 Use, LP-07 Area Maintenance (CAM), LP-09 &amp; Assignment, LP-10 &amp; Improvements, LP-12 Termination, LP-14 Majeure, LP-15 Rights, LP-16 Parking, LP-17 Resolution, LP-18 Provisions</w:t>
      </w:r>
    </w:p>
    <w:p>
      <w:pPr>
        <w:spacing w:after="120"/>
      </w:pPr>
      <w:r>
        <w:rPr>
          <w:sz w:val="8"/>
        </w:rPr>
        <w:t xml:space="preserve"/>
      </w:r>
    </w:p>
    <w:p>
      <w:pPr>
        <w:spacing w:after="80"/>
      </w:pPr>
      <w:r>
        <w:rPr>
          <w:sz w:val="24"/>
          <w:b/>
          <w:color w:val="1A365D"/>
        </w:rPr>
        <w:t xml:space="preserve">Findings</w:t>
      </w:r>
    </w:p>
    <w:p>
      <w:pPr>
        <w:spacing w:after="40"/>
      </w:pPr>
      <w:r>
        <w:rPr>
          <w:sz w:val="20"/>
          <w:b/>
          <w:color w:val="C2410C"/>
        </w:rPr>
        <w:t xml:space="preserve">LP-03 Lease Term &amp; Renewal  [HIGH]  (3/3 evaluators agree)</w:t>
      </w:r>
    </w:p>
    <w:p>
      <w:pPr>
        <w:spacing w:after="40"/>
      </w:pPr>
      <w:r>
        <w:rPr>
          <w:sz w:val="18"/>
        </w:rPr>
        <w:t xml:space="preserve">What Changed: Tenant adds a Landlord “renewal reminder” obligation and, if Landlord fails to provide it 12 months before expiration, extends Tenant’s renewal notice deadline from 6 months to 3 months prior to expiration.</w:t>
      </w:r>
    </w:p>
    <w:p>
      <w:pPr>
        <w:spacing w:after="40"/>
      </w:pPr>
      <w:r>
        <w:rPr>
          <w:sz w:val="18"/>
        </w:rPr>
        <w:t xml:space="preserve">Impact: The tenant-added renewal reminder obligation shifts administrative risk to Landlord and creates an automatic extension of Tenant’s renewal notice deadline if Landlord misses a procedural step. This can materially impair Landlord’s ability to plan for re-leasing/financing and creates a dispute-prone factual issue (whether/when a “reminder” was sent) with cascading impacts on rent reset mechanics in the renewal.</w:t>
      </w:r>
    </w:p>
    <w:p>
      <w:pPr>
        <w:spacing w:after="40"/>
      </w:pPr>
      <w:r>
        <w:rPr>
          <w:sz w:val="18"/>
        </w:rPr>
        <w:t xml:space="preserve">Financial Impact: Potential loss of leasing leverage and downtime planning; increased risk of forced renewal at inopportune timing and related valuation/financing impacts.</w:t>
      </w:r>
    </w:p>
    <w:p>
      <w:pPr>
        <w:spacing w:after="40"/>
      </w:pPr>
      <w:r>
        <w:rPr>
          <w:sz w:val="18"/>
          <w:color w:val="1A365D"/>
        </w:rPr>
        <w:t xml:space="preserve">Recommended Action: Either strike the reminder/extension entirely or convert it to a non-substantive courtesy notice expressly stating failure to send does not extend Tenant’s deadline. If Landlord accepts some form of reminder, tightly define delivery method/addresses, deeming rules, and require Tenant’s renewal notice deadline to remain 6 months (or at most a short, fixed extension) and confirm Section 3.5 renewal rent adjustment is unchanged and fully operable.</w:t>
      </w:r>
    </w:p>
    <w:p>
      <w:pPr>
        <w:spacing w:after="120"/>
      </w:pPr>
      <w:r>
        <w:rPr>
          <w:sz w:val="8"/>
        </w:rPr>
        <w:t xml:space="preserve"/>
      </w:r>
    </w:p>
    <w:p>
      <w:pPr>
        <w:spacing w:after="40"/>
      </w:pPr>
      <w:r>
        <w:rPr>
          <w:sz w:val="20"/>
          <w:b/>
          <w:color w:val="C2410C"/>
        </w:rPr>
        <w:t xml:space="preserve">LP-08 Insurance Requirements  [HIGH]  (3/3 evaluators agree)</w:t>
      </w:r>
    </w:p>
    <w:p>
      <w:pPr>
        <w:spacing w:after="40"/>
      </w:pPr>
      <w:r>
        <w:rPr>
          <w:sz w:val="18"/>
        </w:rPr>
        <w:t xml:space="preserve">What Changed: Tenant reduces CGL limits from $2,000,000 per occurrence / $4,000,000 aggregate to $1,000,000 per occurrence / $2,000,000 aggregate; all other insurance requirements appear unchanged.</w:t>
      </w:r>
    </w:p>
    <w:p>
      <w:pPr>
        <w:spacing w:after="40"/>
      </w:pPr>
      <w:r>
        <w:rPr>
          <w:sz w:val="18"/>
        </w:rPr>
        <w:t xml:space="preserve">Impact: Reducing CGL limits materially increases uninsured/underinsured exposure for Landlord, particularly for premises liability claims that can exceed $1M quickly. The change may also conflict with lender/loan insurance covenants and undermines the practical backstop for indemnity obligations.</w:t>
      </w:r>
    </w:p>
    <w:p>
      <w:pPr>
        <w:spacing w:after="40"/>
      </w:pPr>
      <w:r>
        <w:rPr>
          <w:sz w:val="18"/>
        </w:rPr>
        <w:t xml:space="preserve">Financial Impact: Higher likelihood of uncovered losses, increased claims costs, and potential lender non-compliance/default exposure; possible need for Landlord to procure additional coverage.</w:t>
      </w:r>
    </w:p>
    <w:p>
      <w:pPr>
        <w:spacing w:after="40"/>
      </w:pPr>
      <w:r>
        <w:rPr>
          <w:sz w:val="18"/>
          <w:color w:val="1A365D"/>
        </w:rPr>
        <w:t xml:space="preserve">Recommended Action: Require compliance with the template limits at minimum, and confirm consistency with lender requirements (including additional insured endorsements, primary/noncontributory wording, and waiver of subrogation). If Tenant insists on lower primary limits, require an umbrella/excess policy to reach the original $2M/$4M limits (or higher as required by Landlord/lender) and specify acceptable additional insured endorsement forms (e.g., CG 20 11/20 26 equivalents).</w:t>
      </w:r>
    </w:p>
    <w:p>
      <w:pPr>
        <w:spacing w:after="120"/>
      </w:pPr>
      <w:r>
        <w:rPr>
          <w:sz w:val="8"/>
        </w:rPr>
        <w:t xml:space="preserve"/>
      </w:r>
    </w:p>
    <w:p>
      <w:pPr>
        <w:spacing w:after="40"/>
      </w:pPr>
      <w:r>
        <w:rPr>
          <w:sz w:val="20"/>
          <w:b/>
          <w:color w:val="C2410C"/>
        </w:rPr>
        <w:t xml:space="preserve">LP-11 Default &amp; Remedies  [HIGH]  (3/3 evaluators agree)</w:t>
      </w:r>
    </w:p>
    <w:p>
      <w:pPr>
        <w:spacing w:after="40"/>
      </w:pPr>
      <w:r>
        <w:rPr>
          <w:sz w:val="18"/>
        </w:rPr>
        <w:t xml:space="preserve">What Changed: Tenant narrows non-monetary defaults by inserting “material” before “term, covenant, or condition,” potentially excluding defaults for non-material breaches.</w:t>
      </w:r>
    </w:p>
    <w:p>
      <w:pPr>
        <w:spacing w:after="40"/>
      </w:pPr>
      <w:r>
        <w:rPr>
          <w:sz w:val="18"/>
        </w:rPr>
        <w:t xml:space="preserve">Impact: Adding “material” before non-monetary defaults narrows Landlord’s enforcement tools and can make it harder to address repeated operational noncompliance (rules/regulations, reporting, use restrictions, signage, access) before it becomes severe. It also invites litigation over what is “material,” increasing uncertainty and delaying remedies.</w:t>
      </w:r>
    </w:p>
    <w:p>
      <w:pPr>
        <w:spacing w:after="40"/>
      </w:pPr>
      <w:r>
        <w:rPr>
          <w:sz w:val="18"/>
        </w:rPr>
        <w:t xml:space="preserve">Financial Impact: Potential increased operating and legal costs due to delayed enforcement; higher risk of prolonged noncompliance affecting other tenants, operations, and revenue.</w:t>
      </w:r>
    </w:p>
    <w:p>
      <w:pPr>
        <w:spacing w:after="40"/>
      </w:pPr>
      <w:r>
        <w:rPr>
          <w:sz w:val="18"/>
          <w:color w:val="1A365D"/>
        </w:rPr>
        <w:t xml:space="preserve">Recommended Action: Revert to “any” term/covenant/condition, or if “material” is retained, define it and add carve-outs making specified covenants defaults regardless of materiality (e.g., insurance, lien removal, unauthorized alterations, prohibited use, legal compliance, assignment/subletting, operating covenants). Add a repeat-default provision (e.g., 2+ similar breaches within 12 months constitutes default without further cure) to preserve enforcement leverage.</w:t>
      </w:r>
    </w:p>
    <w:p>
      <w:pPr>
        <w:spacing w:after="120"/>
      </w:pPr>
      <w:r>
        <w:rPr>
          <w:sz w:val="8"/>
        </w:rPr>
        <w:t xml:space="preserve"/>
      </w:r>
    </w:p>
    <w:p>
      <w:pPr>
        <w:spacing w:after="40"/>
      </w:pPr>
      <w:r>
        <w:rPr>
          <w:sz w:val="20"/>
          <w:b/>
          <w:color w:val="D97706"/>
        </w:rPr>
        <w:t xml:space="preserve">LP-06 Maintenance &amp; Repairs  [MEDIUM]  (3/3 evaluators agree)</w:t>
      </w:r>
    </w:p>
    <w:p>
      <w:pPr>
        <w:spacing w:after="40"/>
      </w:pPr>
      <w:r>
        <w:rPr>
          <w:sz w:val="18"/>
        </w:rPr>
        <w:t xml:space="preserve">What Changed: Tenant modifies HVAC responsibility from Landlord-maintained to a shared regime: Tenant handles routine maintenance/filter replacement/minor repairs; Landlord handles major repairs and replacement.</w:t>
      </w:r>
    </w:p>
    <w:p>
      <w:pPr>
        <w:spacing w:after="40"/>
      </w:pPr>
      <w:r>
        <w:rPr>
          <w:sz w:val="18"/>
        </w:rPr>
        <w:t xml:space="preserve">Impact: The HVAC change reallocates responsibilities and introduces ambiguity between “routine/minor” versus “major” repairs and replacement, which commonly drives CAM disputes and service failures. While a shared HVAC regime can be commercially acceptable, the lack of objective definitions and cost-allocation language increases the likelihood of conflict and unexpected costs.</w:t>
      </w:r>
    </w:p>
    <w:p>
      <w:pPr>
        <w:spacing w:after="40"/>
      </w:pPr>
      <w:r>
        <w:rPr>
          <w:sz w:val="18"/>
        </w:rPr>
        <w:t xml:space="preserve">Financial Impact: Potential unbudgeted HVAC repair/maintenance costs and disputes over CAM/repair responsibility; risk of deferred maintenance leading to larger replacement costs.</w:t>
      </w:r>
    </w:p>
    <w:p>
      <w:pPr>
        <w:spacing w:after="40"/>
      </w:pPr>
      <w:r>
        <w:rPr>
          <w:sz w:val="18"/>
          <w:color w:val="1A365D"/>
        </w:rPr>
        <w:t xml:space="preserve">Recommended Action: Define HVAC responsibilities with clear, objective standards (e.g., “major” = capital repair/replacement over a dollar threshold or involving compressor/heat exchanger; “minor/routine” = filters, belts, quarterly service). Align Article IX CAM language to specify which HVAC costs (if any) are CAM versus direct tenant reimbursement, require maintenance logs/service contracts, and add a dispute/inspection mechanism and emergency repair authority.</w:t>
      </w:r>
    </w:p>
    <w:p>
      <w:pPr>
        <w:spacing w:after="120"/>
      </w:pPr>
      <w:r>
        <w:rPr>
          <w:sz w:val="8"/>
        </w:rPr>
        <w:t xml:space="preserve"/>
      </w:r>
    </w:p>
    <w:p>
      <w:pPr>
        <w:spacing w:after="40"/>
      </w:pPr>
      <w:r>
        <w:rPr>
          <w:sz w:val="20"/>
          <w:b/>
          <w:color w:val="64748B"/>
        </w:rPr>
        <w:t xml:space="preserve">LP-13 Indemnification &amp; Liability  [LOW]  (3/3 evaluators agree)</w:t>
      </w:r>
    </w:p>
    <w:p>
      <w:pPr>
        <w:spacing w:after="40"/>
      </w:pPr>
      <w:r>
        <w:rPr>
          <w:sz w:val="18"/>
        </w:rPr>
        <w:t xml:space="preserve">What Changed: Tenant’s mitigation obligation in the Landlord liability limitation section is softened from “best efforts” to “commercially reasonable efforts.”</w:t>
      </w:r>
    </w:p>
    <w:p>
      <w:pPr>
        <w:spacing w:after="40"/>
      </w:pPr>
      <w:r>
        <w:rPr>
          <w:sz w:val="18"/>
        </w:rPr>
        <w:t xml:space="preserve">Impact: Changing Tenant’s mitigation standard from “best efforts” to “commercially reasonable efforts” is a modest qualifier shift and generally aligns with market practice. Given Landlord’s existing liability limitations (no consequential damages and liability cap), the incremental exposure from this mitigation wording is typically limited.</w:t>
      </w:r>
    </w:p>
    <w:p>
      <w:pPr>
        <w:spacing w:after="40"/>
      </w:pPr>
      <w:r>
        <w:rPr>
          <w:sz w:val="18"/>
        </w:rPr>
        <w:t xml:space="preserve">Financial Impact: Negligible</w:t>
      </w:r>
    </w:p>
    <w:p>
      <w:pPr>
        <w:spacing w:after="40"/>
      </w:pPr>
      <w:r>
        <w:rPr>
          <w:sz w:val="18"/>
          <w:color w:val="1A365D"/>
        </w:rPr>
        <w:t xml:space="preserve">Recommended Action: Acceptable in many deals, but confirm it does not conflict with any broader mitigation language elsewhere. If Landlord wants tighter protection, compromise to “commercially reasonable efforts, consistent with Tenant’s duty to mitigate under applicable law,” and ensure the limitation-of-liability and damages framework remains internally consistent.</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the CAM (Constrained Assertion Method) system using multiple independent AI evaluators.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pPr>
        <w:shd w:val="clear" w:color="auto" w:fill="FFF3CD"/>
        <w:pBdr>
          <w:top w:val="single" w:sz="4" w:space="1" w:color="CC4400"/>
          <w:left w:val="single" w:sz="4" w:space="1" w:color="CC4400"/>
          <w:bottom w:val="single" w:sz="4" w:space="1" w:color="CC4400"/>
          <w:right w:val="single" w:sz="4" w:space="1" w:color="CC4400"/>
        </w:pBdr>
      </w:pPr>
      <w:r>
        <w:rPr>
          <w:sz w:val="18"/>
          <w:color w:val="CC4400"/>
        </w:rPr>
        <w:t xml:space="preserve">[CAM — LP-03 Lease Term &amp; Renewal]</w:t>
      </w:r>
      <w:r>
        <w:br/>
      </w:r>
      <w:r>
        <w:rPr>
          <w:sz w:val="18"/>
          <w:color w:val="CC4400"/>
        </w:rPr>
        <w:t xml:space="preserve">Status: DEVIATES (HIGH)</w:t>
      </w:r>
      <w:r>
        <w:br/>
      </w:r>
      <w:r>
        <w:rPr>
          <w:sz w:val="18"/>
          <w:color w:val="CC4400"/>
        </w:rPr>
        <w:t xml:space="preserve">Agreement: 3-0 DEVIATES</w:t>
      </w:r>
      <w:r>
        <w:br/>
      </w:r>
      <w:r>
        <w:rPr>
          <w:sz w:val="18"/>
          <w:color w:val="CC4400"/>
        </w:rPr>
        <w:t xml:space="preserve">Tenant adds a Landlord “renewal reminder” obligation and, if Landlord fails to provide it 12 months before expiration, extends Tenant’s renewal notice deadline from 6 months to 3 months prior to expiration.</w:t>
      </w:r>
      <w:r>
        <w:br/>
      </w:r>
      <w:r>
        <w:rPr>
          <w:sz w:val="18"/>
          <w:color w:val="CC4400"/>
        </w:rPr>
        <w:t xml:space="preserve">Fragility: quantitative_deviation, cross_reference_dependency</w:t>
      </w:r>
      <w:r>
        <w:br/>
      </w:r>
      <w:r>
        <w:rPr>
          <w:sz w:val="18"/>
          <w:color w:val="CC4400"/>
        </w:rPr>
        <w:t xml:space="preserve">→ Either strike the reminder/extension entirely or convert it to a non-substantive courtesy notice expressly stating failure to send does not extend Tenant’s deadline. If Landlord accepts some form of reminder, tightly define delivery method/addresses, deeming rules, and require Tenant’s renewal notice deadline to remain 6 months (or at most a short, fixed extension) and confirm Section 3.5 renewal rent adjustment is unchanged and fully operable.</w:t>
      </w:r>
      <w:r>
        <w:br/>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pPr>
        <w:shd w:val="clear" w:color="auto" w:fill="FFF3CD"/>
        <w:pBdr>
          <w:top w:val="single" w:sz="4" w:space="1" w:color="CC8800"/>
          <w:left w:val="single" w:sz="4" w:space="1" w:color="CC8800"/>
          <w:bottom w:val="single" w:sz="4" w:space="1" w:color="CC8800"/>
          <w:right w:val="single" w:sz="4" w:space="1" w:color="CC8800"/>
        </w:pBdr>
      </w:pPr>
      <w:r>
        <w:rPr>
          <w:sz w:val="18"/>
          <w:color w:val="CC8800"/>
        </w:rPr>
        <w:t xml:space="preserve">[CAM — LP-06 Maintenance &amp; Repairs]</w:t>
      </w:r>
      <w:r>
        <w:br/>
      </w:r>
      <w:r>
        <w:rPr>
          <w:sz w:val="18"/>
          <w:color w:val="CC8800"/>
        </w:rPr>
        <w:t xml:space="preserve">Status: DEVIATES (MEDIUM)</w:t>
      </w:r>
      <w:r>
        <w:br/>
      </w:r>
      <w:r>
        <w:rPr>
          <w:sz w:val="18"/>
          <w:color w:val="CC8800"/>
        </w:rPr>
        <w:t xml:space="preserve">Agreement: 3-0 DEVIATES</w:t>
      </w:r>
      <w:r>
        <w:br/>
      </w:r>
      <w:r>
        <w:rPr>
          <w:sz w:val="18"/>
          <w:color w:val="CC8800"/>
        </w:rPr>
        <w:t xml:space="preserve">Tenant modifies HVAC responsibility from Landlord-maintained to a shared regime: Tenant handles routine maintenance/filter replacement/minor repairs; Landlord handles major repairs and replacement.</w:t>
      </w:r>
      <w:r>
        <w:br/>
      </w:r>
      <w:r>
        <w:rPr>
          <w:sz w:val="18"/>
          <w:color w:val="CC8800"/>
        </w:rPr>
        <w:t xml:space="preserve">Fragility: cross_reference_dependency</w:t>
      </w:r>
      <w:r>
        <w:br/>
      </w:r>
      <w:r>
        <w:rPr>
          <w:sz w:val="18"/>
          <w:color w:val="CC8800"/>
        </w:rPr>
        <w:t xml:space="preserve">→ Define HVAC responsibilities with clear, objective standards (e.g., “major” = capital repair/replacement over a dollar threshold or involving compressor/heat exchanger; “minor/routine” = filters, belts, quarterly service). Align Article IX CAM language to specify which HVAC costs (if any) are CAM versus direct tenant reimbursement, require maintenance logs/service contracts, and add a dispute/inspection mechanism and emergency repair authority.</w:t>
      </w:r>
      <w:r>
        <w:br/>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14:paraId="39F79AA1" w14:textId="77777777" w:rsidR="00123010" w:rsidRDefault="00DA1C84">
      <w:pPr>
        <w:spacing w:before="240" w:after="120"/>
      </w:pPr>
      <w:r>
        <w:rPr>
          <w:rFonts w:ascii="Times New Roman" w:hAnsi="Times New Roman"/>
          <w:b/>
        </w:rPr>
        <w:t>Section 10.1. Tenant's Insurance.</w:t>
      </w:r>
    </w:p>
    <w:p>
      <w:pPr>
        <w:shd w:val="clear" w:color="auto" w:fill="FFF3CD"/>
        <w:pBdr>
          <w:top w:val="single" w:sz="4" w:space="1" w:color="CC4400"/>
          <w:left w:val="single" w:sz="4" w:space="1" w:color="CC4400"/>
          <w:bottom w:val="single" w:sz="4" w:space="1" w:color="CC4400"/>
          <w:right w:val="single" w:sz="4" w:space="1" w:color="CC4400"/>
        </w:pBdr>
      </w:pPr>
      <w:r>
        <w:rPr>
          <w:sz w:val="18"/>
          <w:color w:val="CC4400"/>
        </w:rPr>
        <w:t xml:space="preserve">[CAM — LP-08 Insurance Requirements]</w:t>
      </w:r>
      <w:r>
        <w:br/>
      </w:r>
      <w:r>
        <w:rPr>
          <w:sz w:val="18"/>
          <w:color w:val="CC4400"/>
        </w:rPr>
        <w:t xml:space="preserve">Status: DEVIATES (HIGH)</w:t>
      </w:r>
      <w:r>
        <w:br/>
      </w:r>
      <w:r>
        <w:rPr>
          <w:sz w:val="18"/>
          <w:color w:val="CC4400"/>
        </w:rPr>
        <w:t xml:space="preserve">Agreement: 3-0 DEVIATES</w:t>
      </w:r>
      <w:r>
        <w:br/>
      </w:r>
      <w:r>
        <w:rPr>
          <w:sz w:val="18"/>
          <w:color w:val="CC4400"/>
        </w:rPr>
        <w:t xml:space="preserve">Tenant reduces CGL limits from $2,000,000 per occurrence / $4,000,000 aggregate to $1,000,000 per occurrence / $2,000,000 aggregate; all other insurance requirements appear unchanged.</w:t>
      </w:r>
      <w:r>
        <w:br/>
      </w:r>
      <w:r>
        <w:rPr>
          <w:sz w:val="18"/>
          <w:color w:val="CC4400"/>
        </w:rPr>
        <w:t xml:space="preserve">Fragility: quantitative_deviation, cross_reference_dependency</w:t>
      </w:r>
      <w:r>
        <w:br/>
      </w:r>
      <w:r>
        <w:rPr>
          <w:sz w:val="18"/>
          <w:color w:val="CC4400"/>
        </w:rPr>
        <w:t xml:space="preserve">→ Require compliance with the template limits at minimum, and confirm consistency with lender requirements (including additional insured endorsements, primary/noncontributory wording, and waiver of subrogation). If Tenant insists on lower primary limits, require an umbrella/excess policy to reach the original $2M/$4M limits (or higher as required by Landlord/lender) and specify acceptable additional insured endorsement forms (e.g., CG 20 11/20 26 equivalents).</w:t>
      </w:r>
      <w:r>
        <w:br/>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14:paraId="2A7D8BAF" w14:textId="77777777" w:rsidR="00123010" w:rsidRDefault="00DA1C84">
      <w:pPr>
        <w:spacing w:before="240" w:after="120"/>
      </w:pPr>
      <w:r>
        <w:rPr>
          <w:rFonts w:ascii="Times New Roman" w:hAnsi="Times New Roman"/>
          <w:b/>
        </w:rPr>
        <w:t>Section 13.1. Tenant Default.</w:t>
      </w:r>
    </w:p>
    <w:p>
      <w:pPr>
        <w:shd w:val="clear" w:color="auto" w:fill="FFF3CD"/>
        <w:pBdr>
          <w:top w:val="single" w:sz="4" w:space="1" w:color="CC4400"/>
          <w:left w:val="single" w:sz="4" w:space="1" w:color="CC4400"/>
          <w:bottom w:val="single" w:sz="4" w:space="1" w:color="CC4400"/>
          <w:right w:val="single" w:sz="4" w:space="1" w:color="CC4400"/>
        </w:pBdr>
      </w:pPr>
      <w:r>
        <w:rPr>
          <w:sz w:val="18"/>
          <w:color w:val="CC4400"/>
        </w:rPr>
        <w:t xml:space="preserve">[CAM — LP-11 Default &amp; Remedies]</w:t>
      </w:r>
      <w:r>
        <w:br/>
      </w:r>
      <w:r>
        <w:rPr>
          <w:sz w:val="18"/>
          <w:color w:val="CC4400"/>
        </w:rPr>
        <w:t xml:space="preserve">Status: DEVIATES (HIGH)</w:t>
      </w:r>
      <w:r>
        <w:br/>
      </w:r>
      <w:r>
        <w:rPr>
          <w:sz w:val="18"/>
          <w:color w:val="CC4400"/>
        </w:rPr>
        <w:t xml:space="preserve">Agreement: 3-0 DEVIATES</w:t>
      </w:r>
      <w:r>
        <w:br/>
      </w:r>
      <w:r>
        <w:rPr>
          <w:sz w:val="18"/>
          <w:color w:val="CC4400"/>
        </w:rPr>
        <w:t xml:space="preserve">Tenant narrows non-monetary defaults by inserting “material” before “term, covenant, or condition,” potentially excluding defaults for non-material breaches.</w:t>
      </w:r>
      <w:r>
        <w:br/>
      </w:r>
      <w:r>
        <w:rPr>
          <w:sz w:val="18"/>
          <w:color w:val="CC4400"/>
        </w:rPr>
        <w:t xml:space="preserve">Fragility: cross_reference_dependency</w:t>
      </w:r>
      <w:r>
        <w:br/>
      </w:r>
      <w:r>
        <w:rPr>
          <w:sz w:val="18"/>
          <w:color w:val="CC4400"/>
        </w:rPr>
        <w:t xml:space="preserve">→ Revert to “any” term/covenant/condition, or if “material” is retained, define it and add carve-outs making specified covenants defaults regardless of materiality (e.g., insurance, lien removal, unauthorized alterations, prohibited use, legal compliance, assignment/subletting, operating covenants). Add a repeat-default provision (e.g., 2+ similar breaches within 12 months constitutes default without further cure) to preserve enforcement leverage.</w:t>
      </w:r>
      <w:r>
        <w:br/>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pPr>
        <w:shd w:val="clear" w:color="auto" w:fill="FFF3CD"/>
        <w:pBdr>
          <w:top w:val="single" w:sz="4" w:space="1" w:color="888800"/>
          <w:left w:val="single" w:sz="4" w:space="1" w:color="888800"/>
          <w:bottom w:val="single" w:sz="4" w:space="1" w:color="888800"/>
          <w:right w:val="single" w:sz="4" w:space="1" w:color="888800"/>
        </w:pBdr>
      </w:pPr>
      <w:r>
        <w:rPr>
          <w:sz w:val="18"/>
          <w:color w:val="888800"/>
        </w:rPr>
        <w:t xml:space="preserve">[CAM — LP-13 Indemnification &amp; Liability]</w:t>
      </w:r>
      <w:r>
        <w:br/>
      </w:r>
      <w:r>
        <w:rPr>
          <w:sz w:val="18"/>
          <w:color w:val="888800"/>
        </w:rPr>
        <w:t xml:space="preserve">Status: DEVIATES (LOW)</w:t>
      </w:r>
      <w:r>
        <w:br/>
      </w:r>
      <w:r>
        <w:rPr>
          <w:sz w:val="18"/>
          <w:color w:val="888800"/>
        </w:rPr>
        <w:t xml:space="preserve">Agreement: 3-0 DEVIATES</w:t>
      </w:r>
      <w:r>
        <w:br/>
      </w:r>
      <w:r>
        <w:rPr>
          <w:sz w:val="18"/>
          <w:color w:val="888800"/>
        </w:rPr>
        <w:t xml:space="preserve">Tenant’s mitigation obligation in the Landlord liability limitation section is softened from “best efforts” to “commercially reasonable efforts.”</w:t>
      </w:r>
      <w:r>
        <w:br/>
      </w:r>
      <w:r>
        <w:rPr>
          <w:sz w:val="18"/>
          <w:color w:val="888800"/>
        </w:rPr>
        <w:t xml:space="preserve">Fragility: qualifier_shift, cross_reference_dependency</w:t>
      </w:r>
      <w:r>
        <w:br/>
      </w:r>
      <w:r>
        <w:rPr>
          <w:sz w:val="18"/>
          <w:color w:val="888800"/>
        </w:rPr>
        <w:t xml:space="preserve">→ Acceptable in many deals, but confirm it does not conflict with any broader mitigation language elsewhere. If Landlord wants tighter protection, compromise to “commercially reasonable efforts, consistent with Tenant’s duty to mitigate under applicable law,” and ensure the limitation-of-liability and damages framework remains internally consistent.</w:t>
      </w:r>
      <w:r>
        <w:br/>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F49DA" w14:textId="77777777" w:rsidR="00F23E91" w:rsidRDefault="00F23E91">
      <w:pPr>
        <w:spacing w:after="0" w:line="240" w:lineRule="auto"/>
      </w:pPr>
      <w:r>
        <w:separator/>
      </w:r>
    </w:p>
  </w:endnote>
  <w:endnote w:type="continuationSeparator" w:id="0">
    <w:p w14:paraId="294D3696" w14:textId="77777777" w:rsidR="00F23E91" w:rsidRDefault="00F23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A2B6" w14:textId="77777777" w:rsidR="00F23E91" w:rsidRDefault="00F23E91">
      <w:pPr>
        <w:spacing w:after="0" w:line="240" w:lineRule="auto"/>
      </w:pPr>
      <w:r>
        <w:separator/>
      </w:r>
    </w:p>
  </w:footnote>
  <w:footnote w:type="continuationSeparator" w:id="0">
    <w:p w14:paraId="57B8F492" w14:textId="77777777" w:rsidR="00F23E91" w:rsidRDefault="00F23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9639D"/>
    <w:rsid w:val="00326F90"/>
    <w:rsid w:val="00355E1F"/>
    <w:rsid w:val="006368E5"/>
    <w:rsid w:val="00AA1D8D"/>
    <w:rsid w:val="00B47730"/>
    <w:rsid w:val="00CB0664"/>
    <w:rsid w:val="00DA1C84"/>
    <w:rsid w:val="00F0414F"/>
    <w:rsid w:val="00F23E91"/>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4</cp:revision>
  <dcterms:created xsi:type="dcterms:W3CDTF">2013-12-23T23:15:00Z</dcterms:created>
  <dcterms:modified xsi:type="dcterms:W3CDTF">2026-04-17T17:43:00Z</dcterms:modified>
  <cp:category/>
</cp:coreProperties>
</file>