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C3C4_DD055_composition_settle_continue300s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Second_unchanged_continuation_for_composition_and_operating_point_settling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0.324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0.564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20260712_103152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10:31:52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10:40:44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Scripts\Dynamic_DistillationII\logs\c3c4_dd054_composition_settle_continue300s_20260712\c3c4_initializer_residual_vapor_state_stage2_20260706__checkpoint_20260712_101442.npz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Scripts\Dynamic_DistillationII\logs\c3c4_dd055_composition_settle_continue300s_20260712\column_summary_20260712_103152.csv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Scripts\Dynamic_DistillationII\logs\c3c4_dd055_composition_settle_continue300s_20260712\column_profile_20260712_103152.csv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2,218.65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4,833.61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222.218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232.184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211.02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216.03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-50.157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52.08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48.62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0.3237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6.426%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6.396%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77.823%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76.430%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0.025%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16.092%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15.345%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93.549%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93.586%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6.085%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8.225%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222.218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224.218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8,203.1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224.598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7,973.6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224.988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7,767.1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225.389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7,626.7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225.798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7,552.4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226.214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7,525.5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226.635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7,513.9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227.059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7,503.0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0.0089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227.486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7,484.1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227.914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7,448.1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0.0232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228.445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13,109.6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7,384.4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0.0379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228.984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13,109.9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7,528.6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0.6095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0.4587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0.0403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229.532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7,565.9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0.0435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230.093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7,612.7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0.0482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230.587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13,111.1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7,680.8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0.0548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13,111.8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7,763.9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13,112.6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7,852.0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0.1692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0.0807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13,113.1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0.1012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5,083.1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0.7309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0.0766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.\logs\c3c4_dd054_composition_settle_continue300s_20260712\c3c4_initializer_residual_vapor_state_stage2_20260706__checkpoint_20260712_101442.npz --run-name C3C4_DD055_composition_settle_continue300s --run-description Second_unchanged_continuation_for_composition_and_operating_point_settling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1500 --dt 0.2 --log-every 50 --logs-dir logs\c3c4_dd055_composition_settle_continue300s_20260712 --allow-repeat-command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C3C4_DD055_composition_settle_continue300s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C3C4_DD055_composition_settle_continue300s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C3C4_DD055_composition_settle_continue300s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C3C4_DD055_composition_settle_continue300s</dc:title>
  <dc:subject>Run 20260712_103152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