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C3C4_DD057_final_composition_settle_hold300s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Final_unchanged_hold_to_verify_bottom_composition_slope_decay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0.133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0.563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20260712_105152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10:51:52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11:00:45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Scripts\Dynamic_DistillationII\logs\c3c4_dd056_bottom_inventory_settle_continue300s_20260712\c3c4_initializer_residual_vapor_state_stage2_20260706__checkpoint_20260712_104153.npz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Scripts\Dynamic_DistillationII\logs\c3c4_dd057_final_composition_settle_hold300s_20260712\column_summary_20260712_105152.csv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Scripts\Dynamic_DistillationII\logs\c3c4_dd057_final_composition_settle_hold300s_20260712\column_profile_20260712_105152.csv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2,258.70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4,765.54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221.732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232.177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220.38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223.70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-49.362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51.94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49.03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0.1330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6.380%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6.372%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74.791%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73.569%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0.013%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15.059%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14.969%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93.607%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93.618%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10.150%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11.462%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221.732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223.732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8,229.6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224.136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7,997.1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224.550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7,789.1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224.975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7,645.8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225.409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7,571.4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225.850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7,544.5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226.297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7,532.8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226.746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7,521.7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227.198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7,502.8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227.652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7,466.8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0.0237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7,403.2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228.787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7,545.5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0.0406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229.367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7,582.6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7,628.9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230.483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7,696.0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0.0568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7,777.1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0.0683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231.592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7,862.2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7,938.3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0.1041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5,080.6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0.0785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.\logs\c3c4_dd056_bottom_inventory_settle_continue300s_20260712\c3c4_initializer_residual_vapor_state_stage2_20260706__checkpoint_20260712_104153.npz --run-name C3C4_DD057_final_composition_settle_hold300s --run-description Final_unchanged_hold_to_verify_bottom_composition_slope_decay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1500 --dt 0.2 --log-every 50 --logs-dir logs\c3c4_dd057_final_composition_settle_hold300s_20260712 --allow-repeat-command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C3C4_DD057_final_composition_settle_hold300s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C3C4_DD057_final_composition_settle_hold300s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C3C4_DD057_final_composition_settle_hold300s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C3C4_DD057_final_composition_settle_hold300s</dc:title>
  <dc:subject>Run 20260712_105152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