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47.png" ContentType="image/png"/>
  <Override PartName="/word/media/rId51.png" ContentType="image/png"/>
  <Override PartName="/word/media/rId56.png" ContentType="image/png"/>
  <Override PartName="/word/media/rId60.png" ContentType="image/png"/>
  <Override PartName="/word/media/rId65.png" ContentType="image/png"/>
  <Override PartName="/word/media/rId69.png" ContentType="image/png"/>
  <Override PartName="/word/media/rId14.png" ContentType="image/png"/>
  <Override PartName="/word/media/rId18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 курс. Блок 2: Защита ПК/телефона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Панина Жанна Валерьевна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Выполнение контрольных заданий второго блока внешнего курса</w:t>
      </w:r>
      <w:r>
        <w:t xml:space="preserve"> </w:t>
      </w:r>
      <w:r>
        <w:t xml:space="preserve">“Основы кибербезопасности”</w:t>
      </w:r>
      <w:r>
        <w:t xml:space="preserve">. В ходе выполнения контрольных заданий использовались материалы курса</w:t>
      </w:r>
      <w:r>
        <w:t xml:space="preserve"> </w:t>
      </w:r>
      <w:r>
        <w:t xml:space="preserve">[1]</w:t>
      </w:r>
      <w:r>
        <w:t xml:space="preserve">.</w:t>
      </w:r>
    </w:p>
    <w:bookmarkEnd w:id="9"/>
    <w:bookmarkStart w:id="74" w:name="выполнение-заданий-2-блока"/>
    <w:p>
      <w:pPr>
        <w:pStyle w:val="Heading1"/>
      </w:pPr>
      <w:r>
        <w:t xml:space="preserve">2. Выполнение заданий 2 блока</w:t>
      </w:r>
    </w:p>
    <w:bookmarkStart w:id="22" w:name="шифрование-диска"/>
    <w:p>
      <w:pPr>
        <w:pStyle w:val="Heading2"/>
      </w:pPr>
      <w:r>
        <w:t xml:space="preserve">2.1 Шифрование диска</w:t>
      </w:r>
    </w:p>
    <w:p>
      <w:pPr>
        <w:pStyle w:val="FirstParagraph"/>
      </w:pPr>
      <w:r>
        <w:t xml:space="preserve">Шифрование диска - технология защиты информации, переводящая данные на диске в нечитаемый код, который нелегальный пользователь не сможет легко расшифровать. Соответственно, можно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001"/>
          <w:p>
            <w:pPr>
              <w:pStyle w:val="Compact"/>
              <w:jc w:val="center"/>
            </w:pPr>
            <w:r>
              <w:drawing>
                <wp:inline>
                  <wp:extent cx="3733800" cy="194835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48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Вопрос 1</w:t>
            </w:r>
          </w:p>
          <w:bookmarkEnd w:id="13"/>
        </w:tc>
      </w:tr>
    </w:tbl>
    <w:p>
      <w:pPr>
        <w:pStyle w:val="BodyText"/>
      </w:pPr>
      <w:r>
        <w:t xml:space="preserve">Ответ представлен на изображении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002"/>
          <w:p>
            <w:pPr>
              <w:pStyle w:val="Compact"/>
              <w:jc w:val="center"/>
            </w:pPr>
            <w:r>
              <w:drawing>
                <wp:inline>
                  <wp:extent cx="3733800" cy="2047829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478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Вопрос 2</w:t>
            </w:r>
          </w:p>
          <w:bookmarkEnd w:id="17"/>
        </w:tc>
      </w:tr>
    </w:tbl>
    <w:p>
      <w:pPr>
        <w:pStyle w:val="BodyText"/>
      </w:pPr>
      <w:r>
        <w:t xml:space="preserve">Отмечены программы, с помощью которых можно зашифровать жёсткий диск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003"/>
          <w:p>
            <w:pPr>
              <w:pStyle w:val="Compact"/>
              <w:jc w:val="center"/>
            </w:pPr>
            <w:r>
              <w:drawing>
                <wp:inline>
                  <wp:extent cx="3733800" cy="1932675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2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Вопрос 3</w:t>
            </w:r>
          </w:p>
          <w:bookmarkEnd w:id="21"/>
        </w:tc>
      </w:tr>
    </w:tbl>
    <w:bookmarkEnd w:id="22"/>
    <w:bookmarkStart w:id="55" w:name="пароли"/>
    <w:p>
      <w:pPr>
        <w:pStyle w:val="Heading2"/>
      </w:pPr>
      <w:r>
        <w:t xml:space="preserve">2.2 Пароли</w:t>
      </w:r>
    </w:p>
    <w:p>
      <w:pPr>
        <w:pStyle w:val="FirstParagraph"/>
      </w:pPr>
      <w:r>
        <w:t xml:space="preserve">Стойкий пароль должен содержать строчные и заглавные буквы, цифры, а также специальные символы - и желательно это несвязный набор знаков, и точно не имя питомца или дата своего рождения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4"/>
          <w:p>
            <w:pPr>
              <w:pStyle w:val="Compact"/>
              <w:jc w:val="center"/>
            </w:pPr>
            <w:r>
              <w:drawing>
                <wp:inline>
                  <wp:extent cx="3733800" cy="1770434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70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Вопрос 4</w:t>
            </w:r>
          </w:p>
          <w:bookmarkEnd w:id="26"/>
        </w:tc>
      </w:tr>
    </w:tbl>
    <w:p>
      <w:pPr>
        <w:pStyle w:val="BodyText"/>
      </w:pPr>
      <w:r>
        <w:t xml:space="preserve">Все варианты кроме менеджера паролей совершенно ненадёжные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5"/>
          <w:p>
            <w:pPr>
              <w:pStyle w:val="Compact"/>
              <w:jc w:val="center"/>
            </w:pPr>
            <w:r>
              <w:drawing>
                <wp:inline>
                  <wp:extent cx="3733800" cy="1762161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21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Вопрос 5</w:t>
            </w:r>
          </w:p>
          <w:bookmarkEnd w:id="30"/>
        </w:tc>
      </w:tr>
    </w:tbl>
    <w:p>
      <w:pPr>
        <w:pStyle w:val="BodyText"/>
      </w:pPr>
      <w:r>
        <w:t xml:space="preserve">Капча нужна для проверки того, что за экраном не робот, а человек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6"/>
          <w:p>
            <w:pPr>
              <w:pStyle w:val="Compact"/>
              <w:jc w:val="center"/>
            </w:pPr>
            <w:r>
              <w:drawing>
                <wp:inline>
                  <wp:extent cx="3733800" cy="172816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8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Вопрос 6</w:t>
            </w:r>
          </w:p>
          <w:bookmarkEnd w:id="34"/>
        </w:tc>
      </w:tr>
    </w:tbl>
    <w:p>
      <w:pPr>
        <w:pStyle w:val="BodyText"/>
      </w:pPr>
      <w:r>
        <w:t xml:space="preserve">Пароли опасно хранить в открытом виде, поэтому их хранят хэши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7"/>
          <w:p>
            <w:pPr>
              <w:pStyle w:val="Compact"/>
              <w:jc w:val="center"/>
            </w:pPr>
            <w:r>
              <w:drawing>
                <wp:inline>
                  <wp:extent cx="3733800" cy="173714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71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Вопрос 7</w:t>
            </w:r>
          </w:p>
          <w:bookmarkEnd w:id="38"/>
        </w:tc>
      </w:tr>
    </w:tbl>
    <w:p>
      <w:pPr>
        <w:pStyle w:val="BodyText"/>
      </w:pPr>
      <w:r>
        <w:t xml:space="preserve">Вряд ли соль поможет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8"/>
          <w:p>
            <w:pPr>
              <w:pStyle w:val="Compact"/>
              <w:jc w:val="center"/>
            </w:pPr>
            <w:r>
              <w:drawing>
                <wp:inline>
                  <wp:extent cx="3733800" cy="1547529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75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Вопрос 8</w:t>
            </w:r>
          </w:p>
          <w:bookmarkEnd w:id="42"/>
        </w:tc>
      </w:tr>
    </w:tbl>
    <w:p>
      <w:pPr>
        <w:pStyle w:val="BodyText"/>
      </w:pPr>
      <w:r>
        <w:t xml:space="preserve">Все представленные меры защищают от утечек данных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9"/>
          <w:p>
            <w:pPr>
              <w:pStyle w:val="Compact"/>
              <w:jc w:val="center"/>
            </w:pPr>
            <w:r>
              <w:drawing>
                <wp:inline>
                  <wp:extent cx="3733800" cy="1911407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114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Вопрос 9</w:t>
            </w:r>
          </w:p>
          <w:bookmarkEnd w:id="46"/>
        </w:tc>
      </w:tr>
    </w:tbl>
    <w:p>
      <w:pPr>
        <w:pStyle w:val="BodyText"/>
      </w:pPr>
      <w:r>
        <w:t xml:space="preserve">Фишинговые ссылки похожи на</w:t>
      </w:r>
      <w:r>
        <w:t xml:space="preserve"> </w:t>
      </w:r>
      <w:r>
        <w:t xml:space="preserve">“оригинальные”</w:t>
      </w:r>
      <w:r>
        <w:t xml:space="preserve"> </w:t>
      </w:r>
      <w:r>
        <w:t xml:space="preserve">ссылки хорошо знакомых нам сервисов, но с некоторыми отличиями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10"/>
          <w:p>
            <w:pPr>
              <w:pStyle w:val="Compact"/>
              <w:jc w:val="center"/>
            </w:pPr>
            <w:r>
              <w:drawing>
                <wp:inline>
                  <wp:extent cx="3733800" cy="193514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51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Вопрос 10</w:t>
            </w:r>
          </w:p>
          <w:bookmarkEnd w:id="50"/>
        </w:tc>
      </w:tr>
    </w:tbl>
    <w:p>
      <w:pPr>
        <w:pStyle w:val="BodyText"/>
      </w:pPr>
      <w:r>
        <w:t xml:space="preserve">Да, может, например, если нашего знакомого взломали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11"/>
          <w:p>
            <w:pPr>
              <w:pStyle w:val="Compact"/>
              <w:jc w:val="center"/>
            </w:pPr>
            <w:r>
              <w:drawing>
                <wp:inline>
                  <wp:extent cx="3733800" cy="1960893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60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Вопрос 11</w:t>
            </w:r>
          </w:p>
          <w:bookmarkEnd w:id="54"/>
        </w:tc>
      </w:tr>
    </w:tbl>
    <w:bookmarkEnd w:id="55"/>
    <w:bookmarkStart w:id="64" w:name="вирусы.-примеры"/>
    <w:p>
      <w:pPr>
        <w:pStyle w:val="Heading2"/>
      </w:pPr>
      <w:r>
        <w:t xml:space="preserve">2.3 Вирусы. Примеры</w:t>
      </w:r>
    </w:p>
    <w:p>
      <w:pPr>
        <w:pStyle w:val="FirstParagraph"/>
      </w:pPr>
      <w:r>
        <w:t xml:space="preserve">Данное определение точно описывает понятие имейл спуфинг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12"/>
          <w:p>
            <w:pPr>
              <w:pStyle w:val="Compact"/>
              <w:jc w:val="center"/>
            </w:pPr>
            <w:r>
              <w:drawing>
                <wp:inline>
                  <wp:extent cx="3733800" cy="1663606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636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Вопрос 12</w:t>
            </w:r>
          </w:p>
          <w:bookmarkEnd w:id="59"/>
        </w:tc>
      </w:tr>
    </w:tbl>
    <w:p>
      <w:pPr>
        <w:pStyle w:val="BodyText"/>
      </w:pPr>
      <w:r>
        <w:t xml:space="preserve">Вирусы-трояны, которые неопытный пользователь может установить по ошибке, маскируются под легитимные и полезные программы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3"/>
          <w:p>
            <w:pPr>
              <w:pStyle w:val="Compact"/>
              <w:jc w:val="center"/>
            </w:pPr>
            <w:r>
              <w:drawing>
                <wp:inline>
                  <wp:extent cx="3733800" cy="1739408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94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Вопрос 13</w:t>
            </w:r>
          </w:p>
          <w:bookmarkEnd w:id="63"/>
        </w:tc>
      </w:tr>
    </w:tbl>
    <w:bookmarkEnd w:id="64"/>
    <w:bookmarkStart w:id="73" w:name="безопаность-мессенджеров"/>
    <w:p>
      <w:pPr>
        <w:pStyle w:val="Heading2"/>
      </w:pPr>
      <w:r>
        <w:t xml:space="preserve">2.4 Безопаность мессенджеров</w:t>
      </w:r>
    </w:p>
    <w:p>
      <w:pPr>
        <w:pStyle w:val="FirstParagraph"/>
      </w:pPr>
      <w:r>
        <w:t xml:space="preserve">При генерации первого сообщения отправителем формируется ключ шифрования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4"/>
          <w:p>
            <w:pPr>
              <w:pStyle w:val="Compact"/>
              <w:jc w:val="center"/>
            </w:pPr>
            <w:r>
              <w:drawing>
                <wp:inline>
                  <wp:extent cx="3733800" cy="17318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1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Вопрос 14</w:t>
            </w:r>
          </w:p>
          <w:bookmarkEnd w:id="68"/>
        </w:tc>
      </w:tr>
    </w:tbl>
    <w:p>
      <w:pPr>
        <w:pStyle w:val="BodyText"/>
      </w:pPr>
      <w:r>
        <w:t xml:space="preserve">Дан исчерпывающий ответ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5"/>
          <w:p>
            <w:pPr>
              <w:pStyle w:val="Compact"/>
              <w:jc w:val="center"/>
            </w:pPr>
            <w:r>
              <w:drawing>
                <wp:inline>
                  <wp:extent cx="3733800" cy="1660005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600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Вопрос 15</w:t>
            </w:r>
          </w:p>
          <w:bookmarkEnd w:id="72"/>
        </w:tc>
      </w:tr>
    </w:tbl>
    <w:bookmarkEnd w:id="73"/>
    <w:bookmarkEnd w:id="74"/>
    <w:bookmarkStart w:id="75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Был пройден второй блок курса, изучены правила хранения паролей и основная информация о вирусах.</w:t>
      </w:r>
    </w:p>
    <w:bookmarkEnd w:id="75"/>
    <w:bookmarkStart w:id="79" w:name="список-литературы"/>
    <w:p>
      <w:pPr>
        <w:pStyle w:val="Heading1"/>
      </w:pPr>
      <w:r>
        <w:t xml:space="preserve">Список литературы</w:t>
      </w:r>
    </w:p>
    <w:bookmarkStart w:id="78" w:name="refs"/>
    <w:bookmarkStart w:id="77" w:name="ref-stepik_infosec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Балтийский федеральный университет имени Иммануила Канта. Основы кибербезопасности.</w:t>
      </w:r>
      <w:r>
        <w:t xml:space="preserve"> </w:t>
      </w:r>
      <w:hyperlink r:id="rId76">
        <w:r>
          <w:rPr>
            <w:rStyle w:val="Hyperlink"/>
          </w:rPr>
          <w:t xml:space="preserve">https://stepik.org/lesson/666222/step/1?unit=664211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hyperlink" Id="rId76" Target="https://stepik.org/lesson/666222/step/1?unit=66421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https://stepik.org/lesson/666222/step/1?unit=66421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курс. Блок 2: Защита ПК/телефона</dc:title>
  <dc:creator>Панина Жанна Валерьевна</dc:creator>
  <dc:language>ru-RU</dc:language>
  <cp:keywords/>
  <dcterms:created xsi:type="dcterms:W3CDTF">2026-05-12T00:55:18Z</dcterms:created>
  <dcterms:modified xsi:type="dcterms:W3CDTF">2026-05-12T00:55:18Z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Основы информационной безопасности</vt:lpwstr>
  </property>
  <property fmtid="{D5CDD505-2E9C-101B-9397-08002B2CF9AE}" pid="17" name="toc-title">
    <vt:lpwstr>Содержание</vt:lpwstr>
  </property>
</Properties>
</file>