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3.png" ContentType="image/png"/>
  <Override PartName="/word/media/rId29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Техники управления ключами. Основные концепции. Жизненный цикл управления ключами.</w:t>
      </w:r>
    </w:p>
    <w:p>
      <w:pPr>
        <w:pStyle w:val="Subtitle"/>
      </w:pPr>
      <w:r>
        <w:t xml:space="preserve">Реферат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техники управления ключами и их жизненный цикл.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основные концепции криптографических ключей;</w:t>
      </w:r>
    </w:p>
    <w:p>
      <w:pPr>
        <w:pStyle w:val="Compact"/>
        <w:numPr>
          <w:ilvl w:val="0"/>
          <w:numId w:val="1001"/>
        </w:numPr>
      </w:pPr>
      <w:r>
        <w:t xml:space="preserve">Изучить методы управления ключами;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жизненный цикл ключа;</w:t>
      </w:r>
    </w:p>
    <w:p>
      <w:pPr>
        <w:pStyle w:val="Compact"/>
        <w:numPr>
          <w:ilvl w:val="0"/>
          <w:numId w:val="1001"/>
        </w:numPr>
      </w:pPr>
      <w:r>
        <w:t xml:space="preserve">Определить практическую значимость управления ключами.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Информационная безопасность является одной из ключевых задач современной цифровой среды. Согласно стандартам, информация рассматривается как ценный актив, требующий защиты по таким критериям как конфиденциальность, целостность и доступность.</w:t>
      </w:r>
      <w:r>
        <w:t xml:space="preserve"> </w:t>
      </w:r>
      <w:r>
        <w:t xml:space="preserve">[1]</w:t>
      </w:r>
    </w:p>
    <w:p>
      <w:pPr>
        <w:pStyle w:val="BodyText"/>
      </w:pPr>
      <w:r>
        <w:t xml:space="preserve">Криптография играет важную роль в обеспечении безопасности данных. Однако надёжность криптографических систем определяется не только используемыми алгоритмами, но и эффективностью управления криптографическими ключами.</w:t>
      </w:r>
    </w:p>
    <w:bookmarkEnd w:id="11"/>
    <w:bookmarkStart w:id="12" w:name="основные-концепции-управления-ключами"/>
    <w:p>
      <w:pPr>
        <w:pStyle w:val="Heading1"/>
      </w:pPr>
      <w:r>
        <w:t xml:space="preserve">4. Основные концепции управления ключами</w:t>
      </w:r>
    </w:p>
    <w:p>
      <w:pPr>
        <w:pStyle w:val="FirstParagraph"/>
      </w:pPr>
      <w:r>
        <w:t xml:space="preserve">Криптографический ключ представляет собой параметр алгоритма шифрования, обеспечивающий защиту информации. Согласно принципу Керкхоффса</w:t>
      </w:r>
      <w:r>
        <w:t xml:space="preserve"> </w:t>
      </w:r>
      <w:r>
        <w:t xml:space="preserve">[2]</w:t>
      </w:r>
      <w:r>
        <w:t xml:space="preserve">, безопасность системы должна зависеть только от секретности ключа, а не от алгоритма.</w:t>
      </w:r>
    </w:p>
    <w:p>
      <w:pPr>
        <w:pStyle w:val="BodyText"/>
      </w:pPr>
      <w:r>
        <w:t xml:space="preserve">Основные требования к ключам:</w:t>
      </w:r>
      <w:r>
        <w:t xml:space="preserve"> </w:t>
      </w:r>
      <w:r>
        <w:t xml:space="preserve">- случайность и и высокая энтропия;</w:t>
      </w:r>
      <w:r>
        <w:t xml:space="preserve"> </w:t>
      </w:r>
      <w:r>
        <w:t xml:space="preserve">- уникальность;</w:t>
      </w:r>
      <w:r>
        <w:t xml:space="preserve"> </w:t>
      </w:r>
      <w:r>
        <w:t xml:space="preserve">- защита от несанкционированного доступа;</w:t>
      </w:r>
      <w:r>
        <w:t xml:space="preserve"> </w:t>
      </w:r>
      <w:r>
        <w:t xml:space="preserve">- ограниченный срок использования.</w:t>
      </w:r>
    </w:p>
    <w:p>
      <w:pPr>
        <w:pStyle w:val="BodyText"/>
      </w:pPr>
      <w:r>
        <w:t xml:space="preserve">Ключи могут использоваться в симметричных и асимметричных криптосистемах</w:t>
      </w:r>
      <w:r>
        <w:t xml:space="preserve"> </w:t>
      </w:r>
      <w:r>
        <w:t xml:space="preserve">[3]</w:t>
      </w:r>
      <w:r>
        <w:t xml:space="preserve">, различающихся способом применения и распределения ключей.</w:t>
      </w:r>
    </w:p>
    <w:bookmarkEnd w:id="12"/>
    <w:bookmarkStart w:id="41" w:name="X14aa1605549f34be62d40cf76b65860b0ad8d0a"/>
    <w:p>
      <w:pPr>
        <w:pStyle w:val="Heading1"/>
      </w:pPr>
      <w:r>
        <w:t xml:space="preserve">5. Техники управления ключами и их жизненный цикл</w:t>
      </w:r>
    </w:p>
    <w:p>
      <w:pPr>
        <w:pStyle w:val="FirstParagraph"/>
      </w:pPr>
      <w:r>
        <w:t xml:space="preserve">Управление криптографическими ключами представляет собой совокупность процессов, обеспечивающих безопасное создание, использование, хранение и уничножение ключей на протяжении всего их жизненного цикла.</w:t>
      </w:r>
      <w:r>
        <w:t xml:space="preserve"> </w:t>
      </w:r>
      <w:r>
        <w:t xml:space="preserve">[4]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001"/>
          <w:p>
            <w:pPr>
              <w:pStyle w:val="Compact"/>
              <w:jc w:val="center"/>
            </w:pPr>
            <w:r>
              <w:drawing>
                <wp:inline>
                  <wp:extent cx="3733800" cy="214441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4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Архитектура системы управления ключами</w:t>
            </w:r>
          </w:p>
          <w:bookmarkEnd w:id="16"/>
        </w:tc>
      </w:tr>
    </w:tbl>
    <w:p>
      <w:pPr>
        <w:pStyle w:val="BodyText"/>
      </w:pPr>
      <w:r>
        <w:t xml:space="preserve">В отличие от абстрактного описания, управление ключами рассматривает как последовательность этапов (жизненный цикл), так и конкретные технические методы реализации каждого этапа.</w:t>
      </w:r>
    </w:p>
    <w:p>
      <w:pPr>
        <w:pStyle w:val="BodyText"/>
      </w:pPr>
      <w:r>
        <w:t xml:space="preserve">Основные этапы: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Генерация</w:t>
      </w:r>
      <w:r>
        <w:t xml:space="preserve"> </w:t>
      </w:r>
      <w:r>
        <w:t xml:space="preserve">- создание ключа.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Распределение</w:t>
      </w:r>
      <w:r>
        <w:t xml:space="preserve"> </w:t>
      </w:r>
      <w:r>
        <w:t xml:space="preserve">- передача ключа пользователям.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Использование</w:t>
      </w:r>
      <w:r>
        <w:t xml:space="preserve"> </w:t>
      </w:r>
      <w:r>
        <w:t xml:space="preserve">- применение ключа в криптографических операциях.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Хранение</w:t>
      </w:r>
      <w:r>
        <w:t xml:space="preserve"> </w:t>
      </w:r>
      <w:r>
        <w:t xml:space="preserve">- обеспечение безопасности ключа в процессе эксплуатации.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Ротация</w:t>
      </w:r>
      <w:r>
        <w:t xml:space="preserve"> </w:t>
      </w:r>
      <w:r>
        <w:t xml:space="preserve">- обновление ключа.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Уничтожение</w:t>
      </w:r>
      <w:r>
        <w:t xml:space="preserve"> </w:t>
      </w:r>
      <w:r>
        <w:t xml:space="preserve">- удаление ключа после окончания срока десйствия.</w:t>
      </w:r>
    </w:p>
    <w:bookmarkStart w:id="17" w:name="генерация-ключей"/>
    <w:p>
      <w:pPr>
        <w:pStyle w:val="Heading2"/>
      </w:pPr>
      <w:r>
        <w:t xml:space="preserve">5.1 Генерация ключей</w:t>
      </w:r>
    </w:p>
    <w:p>
      <w:pPr>
        <w:pStyle w:val="FirstParagraph"/>
      </w:pPr>
      <w:r>
        <w:t xml:space="preserve">На этапе генерации создаются криптографические ключи, обладающие высокой степенью случайности. Используются программные генераторы псевдослучайных чисел (CSPRNG)</w:t>
      </w:r>
      <w:r>
        <w:t xml:space="preserve"> </w:t>
      </w:r>
      <w:r>
        <w:t xml:space="preserve">[1]</w:t>
      </w:r>
      <w:r>
        <w:t xml:space="preserve">; аппаратные генераторы случайных чисел, основанные на физических источниках шума.</w:t>
      </w:r>
    </w:p>
    <w:p>
      <w:pPr>
        <w:pStyle w:val="BodyText"/>
      </w:pPr>
      <w:r>
        <w:t xml:space="preserve">Качество генерации напрямую влияет на стойкость всей криптосистемы.</w:t>
      </w:r>
    </w:p>
    <w:bookmarkEnd w:id="17"/>
    <w:bookmarkStart w:id="22" w:name="распределение-и-обмен-ключами"/>
    <w:p>
      <w:pPr>
        <w:pStyle w:val="Heading2"/>
      </w:pPr>
      <w:r>
        <w:t xml:space="preserve">5.2 Распределение и обмен ключами</w:t>
      </w:r>
    </w:p>
    <w:p>
      <w:pPr>
        <w:pStyle w:val="FirstParagraph"/>
      </w:pPr>
      <w:r>
        <w:t xml:space="preserve">Передача ключей между участниками является критически важным этапом. Применяются различные методы:</w:t>
      </w:r>
    </w:p>
    <w:p>
      <w:pPr>
        <w:pStyle w:val="Compact"/>
        <w:numPr>
          <w:ilvl w:val="0"/>
          <w:numId w:val="1003"/>
        </w:numPr>
      </w:pPr>
      <w:r>
        <w:t xml:space="preserve">защищённые каналы передачи;</w:t>
      </w:r>
    </w:p>
    <w:p>
      <w:pPr>
        <w:pStyle w:val="Compact"/>
        <w:numPr>
          <w:ilvl w:val="0"/>
          <w:numId w:val="1003"/>
        </w:numPr>
      </w:pPr>
      <w:r>
        <w:t xml:space="preserve">протокол Диффи-Хеллмана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для согласования ключа по открытому каналу</w:t>
      </w:r>
      <w:r>
        <w:t xml:space="preserve"> </w:t>
      </w:r>
      <w:r>
        <w:t xml:space="preserve">[5]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асимметричного шифрования для передачи симметричных ключей;</w:t>
      </w:r>
    </w:p>
    <w:p>
      <w:pPr>
        <w:pStyle w:val="Compact"/>
        <w:numPr>
          <w:ilvl w:val="0"/>
          <w:numId w:val="1003"/>
        </w:numPr>
      </w:pPr>
      <w:r>
        <w:t xml:space="preserve">инкапсуляция ключей (key wrapping);</w:t>
      </w:r>
    </w:p>
    <w:p>
      <w:pPr>
        <w:pStyle w:val="Compact"/>
        <w:numPr>
          <w:ilvl w:val="0"/>
          <w:numId w:val="1003"/>
        </w:numPr>
      </w:pPr>
      <w:r>
        <w:t xml:space="preserve">диверсификация ключей на основе корневого ключа.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2"/>
          <w:p>
            <w:pPr>
              <w:pStyle w:val="Compact"/>
              <w:jc w:val="center"/>
            </w:pPr>
            <w:r>
              <w:drawing>
                <wp:inline>
                  <wp:extent cx="3733800" cy="327498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4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Схема обмена ключами Диффи-Хеллмана</w:t>
            </w:r>
          </w:p>
          <w:bookmarkEnd w:id="21"/>
        </w:tc>
      </w:tr>
    </w:tbl>
    <w:bookmarkEnd w:id="22"/>
    <w:bookmarkStart w:id="27" w:name="хранение-ключей"/>
    <w:p>
      <w:pPr>
        <w:pStyle w:val="Heading2"/>
      </w:pPr>
      <w:r>
        <w:t xml:space="preserve">5.3 Хранение ключей</w:t>
      </w:r>
    </w:p>
    <w:p>
      <w:pPr>
        <w:pStyle w:val="FirstParagraph"/>
      </w:pPr>
      <w:r>
        <w:t xml:space="preserve">Безопасное хранение ключей обеспечивается с использованием специализированных технологий:</w:t>
      </w:r>
    </w:p>
    <w:p>
      <w:pPr>
        <w:pStyle w:val="Compact"/>
        <w:numPr>
          <w:ilvl w:val="0"/>
          <w:numId w:val="1004"/>
        </w:numPr>
      </w:pPr>
      <w:r>
        <w:t xml:space="preserve">HSM (аппаратные модули безопасности);</w:t>
      </w:r>
    </w:p>
    <w:p>
      <w:pPr>
        <w:pStyle w:val="Compact"/>
        <w:numPr>
          <w:ilvl w:val="0"/>
          <w:numId w:val="1004"/>
        </w:numPr>
      </w:pPr>
      <w:r>
        <w:t xml:space="preserve">TPM (доверенные платформенные модули);</w:t>
      </w:r>
    </w:p>
    <w:p>
      <w:pPr>
        <w:pStyle w:val="Compact"/>
        <w:numPr>
          <w:ilvl w:val="0"/>
          <w:numId w:val="1004"/>
        </w:numPr>
      </w:pPr>
      <w:r>
        <w:t xml:space="preserve">TEE (защищённые вычислительные среды);</w:t>
      </w:r>
    </w:p>
    <w:p>
      <w:pPr>
        <w:pStyle w:val="Compact"/>
        <w:numPr>
          <w:ilvl w:val="0"/>
          <w:numId w:val="1004"/>
        </w:numPr>
      </w:pPr>
      <w:r>
        <w:t xml:space="preserve">виртуальные HSM.</w:t>
      </w:r>
    </w:p>
    <w:p>
      <w:pPr>
        <w:pStyle w:val="FirstParagraph"/>
      </w:pPr>
      <w:r>
        <w:t xml:space="preserve">Также применяется иерархическая структура ключей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 мастер-ключ; ключи шифрования ключей (KEK); ключи шифрования данных (DEK).</w:t>
      </w:r>
      <w:r>
        <w:t xml:space="preserve"> </w:t>
      </w:r>
      <w:r>
        <w:t xml:space="preserve">[6]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3"/>
          <w:p>
            <w:pPr>
              <w:pStyle w:val="Compact"/>
              <w:jc w:val="center"/>
            </w:pPr>
            <w:r>
              <w:drawing>
                <wp:inline>
                  <wp:extent cx="3733800" cy="352327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3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Иерархия криптографических ключей</w:t>
            </w:r>
          </w:p>
          <w:bookmarkEnd w:id="26"/>
        </w:tc>
      </w:tr>
    </w:tbl>
    <w:bookmarkEnd w:id="27"/>
    <w:bookmarkStart w:id="28" w:name="использование-ключей"/>
    <w:p>
      <w:pPr>
        <w:pStyle w:val="Heading2"/>
      </w:pPr>
      <w:r>
        <w:t xml:space="preserve">5.4 Использование ключей</w:t>
      </w:r>
    </w:p>
    <w:p>
      <w:pPr>
        <w:pStyle w:val="FirstParagraph"/>
      </w:pPr>
      <w:r>
        <w:t xml:space="preserve">На этапе эксплуатации ключи применяются в соответствии с их назначением:</w:t>
      </w:r>
    </w:p>
    <w:p>
      <w:pPr>
        <w:pStyle w:val="Compact"/>
        <w:numPr>
          <w:ilvl w:val="0"/>
          <w:numId w:val="1005"/>
        </w:numPr>
      </w:pPr>
      <w:r>
        <w:t xml:space="preserve">шифрование и расшифрование данных;</w:t>
      </w:r>
    </w:p>
    <w:p>
      <w:pPr>
        <w:pStyle w:val="Compact"/>
        <w:numPr>
          <w:ilvl w:val="0"/>
          <w:numId w:val="1005"/>
        </w:numPr>
      </w:pPr>
      <w:r>
        <w:t xml:space="preserve">формирование и проверка цифровых подписей;</w:t>
      </w:r>
    </w:p>
    <w:p>
      <w:pPr>
        <w:pStyle w:val="Compact"/>
        <w:numPr>
          <w:ilvl w:val="0"/>
          <w:numId w:val="1005"/>
        </w:numPr>
      </w:pPr>
      <w:r>
        <w:t xml:space="preserve">аутентификация.</w:t>
      </w:r>
    </w:p>
    <w:p>
      <w:pPr>
        <w:pStyle w:val="FirstParagraph"/>
      </w:pPr>
      <w:r>
        <w:t xml:space="preserve">Важными параметрами являются криптопериод (срок действия ключа) и контекст использования (сессия, файл, сообщение).</w:t>
      </w:r>
    </w:p>
    <w:bookmarkEnd w:id="28"/>
    <w:bookmarkStart w:id="33" w:name="ротация-ключей"/>
    <w:p>
      <w:pPr>
        <w:pStyle w:val="Heading2"/>
      </w:pPr>
      <w:r>
        <w:t xml:space="preserve">5.5 Ротация ключей</w:t>
      </w:r>
    </w:p>
    <w:p>
      <w:pPr>
        <w:pStyle w:val="FirstParagraph"/>
      </w:pPr>
      <w:r>
        <w:t xml:space="preserve">Ротация предполагает регулярную замену ключей с целью снижения риска компрометации:</w:t>
      </w:r>
    </w:p>
    <w:p>
      <w:pPr>
        <w:pStyle w:val="Compact"/>
        <w:numPr>
          <w:ilvl w:val="0"/>
          <w:numId w:val="1006"/>
        </w:numPr>
      </w:pPr>
      <w:r>
        <w:t xml:space="preserve">плановая замена по политике безопасности;</w:t>
      </w:r>
    </w:p>
    <w:p>
      <w:pPr>
        <w:pStyle w:val="Compact"/>
        <w:numPr>
          <w:ilvl w:val="0"/>
          <w:numId w:val="1006"/>
        </w:numPr>
      </w:pPr>
      <w:r>
        <w:t xml:space="preserve">внеплановая замена при угрозе компрометации;</w:t>
      </w:r>
    </w:p>
    <w:p>
      <w:pPr>
        <w:pStyle w:val="Compact"/>
        <w:numPr>
          <w:ilvl w:val="0"/>
          <w:numId w:val="1006"/>
        </w:numPr>
      </w:pPr>
      <w:r>
        <w:t xml:space="preserve">использование конвертного шифрования (envelope encryption)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4"/>
          <w:p>
            <w:pPr>
              <w:pStyle w:val="Compact"/>
              <w:jc w:val="center"/>
            </w:pPr>
            <w:r>
              <w:drawing>
                <wp:inline>
                  <wp:extent cx="3619500" cy="22479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Конвертное шифрование - Envelope Encryption</w:t>
            </w:r>
          </w:p>
          <w:bookmarkEnd w:id="32"/>
        </w:tc>
      </w:tr>
    </w:tbl>
    <w:bookmarkEnd w:id="33"/>
    <w:bookmarkStart w:id="38" w:name="уничтожение-ключей"/>
    <w:p>
      <w:pPr>
        <w:pStyle w:val="Heading2"/>
      </w:pPr>
      <w:r>
        <w:t xml:space="preserve">5.6 Уничтожение ключей</w:t>
      </w:r>
    </w:p>
    <w:p>
      <w:pPr>
        <w:pStyle w:val="FirstParagraph"/>
      </w:pPr>
      <w:r>
        <w:t xml:space="preserve">На завершающем этапе ключи удаляются без возможности восстановлени: происходит перезапись памяти и физическое уничтожение носителей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 Данный процесс известен как crypto-shredding.</w:t>
      </w:r>
      <w:r>
        <w:t xml:space="preserve"> </w:t>
      </w:r>
      <w:r>
        <w:t xml:space="preserve">[1]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5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Crypto-shredding</w:t>
            </w:r>
          </w:p>
          <w:bookmarkEnd w:id="37"/>
        </w:tc>
      </w:tr>
    </w:tbl>
    <w:bookmarkEnd w:id="38"/>
    <w:bookmarkStart w:id="39" w:name="ключевые-технологии-управления"/>
    <w:p>
      <w:pPr>
        <w:pStyle w:val="Heading2"/>
      </w:pPr>
      <w:r>
        <w:t xml:space="preserve">5.7 Ключевые технологии управления</w:t>
      </w:r>
    </w:p>
    <w:p>
      <w:pPr>
        <w:pStyle w:val="FirstParagraph"/>
      </w:pPr>
      <w:r>
        <w:t xml:space="preserve">Современные системы управления ключами реализуются с использованием специализированных решений:</w:t>
      </w:r>
    </w:p>
    <w:p>
      <w:pPr>
        <w:pStyle w:val="Compact"/>
        <w:numPr>
          <w:ilvl w:val="0"/>
          <w:numId w:val="1007"/>
        </w:numPr>
      </w:pPr>
      <w:r>
        <w:t xml:space="preserve">системы управления ключами (KMS);</w:t>
      </w:r>
      <w:r>
        <w:t xml:space="preserve"> </w:t>
      </w:r>
      <w:r>
        <w:t xml:space="preserve">[4]</w:t>
      </w:r>
    </w:p>
    <w:p>
      <w:pPr>
        <w:pStyle w:val="Compact"/>
        <w:numPr>
          <w:ilvl w:val="0"/>
          <w:numId w:val="1007"/>
        </w:numPr>
      </w:pPr>
      <w:r>
        <w:t xml:space="preserve">протокол KMIP;</w:t>
      </w:r>
      <w:r>
        <w:t xml:space="preserve"> </w:t>
      </w:r>
      <w:r>
        <w:t xml:space="preserve">[7]</w:t>
      </w:r>
    </w:p>
    <w:p>
      <w:pPr>
        <w:pStyle w:val="Compact"/>
        <w:numPr>
          <w:ilvl w:val="0"/>
          <w:numId w:val="1007"/>
        </w:numPr>
      </w:pPr>
      <w:r>
        <w:t xml:space="preserve">инфраструктура открытых ключей (PKI);</w:t>
      </w:r>
    </w:p>
    <w:p>
      <w:pPr>
        <w:pStyle w:val="Compact"/>
        <w:numPr>
          <w:ilvl w:val="0"/>
          <w:numId w:val="1007"/>
        </w:numPr>
      </w:pPr>
      <w:r>
        <w:t xml:space="preserve">облачные сервисы управления ключами;</w:t>
      </w:r>
    </w:p>
    <w:p>
      <w:pPr>
        <w:pStyle w:val="Compact"/>
        <w:numPr>
          <w:ilvl w:val="0"/>
          <w:numId w:val="1007"/>
        </w:numPr>
      </w:pPr>
      <w:r>
        <w:t xml:space="preserve">модель BYOK (Bring Your Own Key).</w:t>
      </w:r>
    </w:p>
    <w:bookmarkEnd w:id="39"/>
    <w:bookmarkStart w:id="40" w:name="принципы-эффективного-управления-ключами"/>
    <w:p>
      <w:pPr>
        <w:pStyle w:val="Heading2"/>
      </w:pPr>
      <w:r>
        <w:t xml:space="preserve">5.8 Принципы эффективного управления ключами</w:t>
      </w:r>
    </w:p>
    <w:p>
      <w:pPr>
        <w:pStyle w:val="FirstParagraph"/>
      </w:pPr>
      <w:r>
        <w:t xml:space="preserve">Эффективность системы управления ключами определяется соблюдением следующих принципов:</w:t>
      </w:r>
    </w:p>
    <w:p>
      <w:pPr>
        <w:pStyle w:val="Compact"/>
        <w:numPr>
          <w:ilvl w:val="0"/>
          <w:numId w:val="1008"/>
        </w:numPr>
      </w:pPr>
      <w:r>
        <w:t xml:space="preserve">минимизация срока жизни ключей;</w:t>
      </w:r>
    </w:p>
    <w:p>
      <w:pPr>
        <w:pStyle w:val="Compact"/>
        <w:numPr>
          <w:ilvl w:val="0"/>
          <w:numId w:val="1008"/>
        </w:numPr>
      </w:pPr>
      <w:r>
        <w:t xml:space="preserve">разделение ролей и функций ключей;</w:t>
      </w:r>
    </w:p>
    <w:p>
      <w:pPr>
        <w:pStyle w:val="Compact"/>
        <w:numPr>
          <w:ilvl w:val="0"/>
          <w:numId w:val="1008"/>
        </w:numPr>
      </w:pPr>
      <w:r>
        <w:t xml:space="preserve">аудит и мониторинг операций;</w:t>
      </w:r>
    </w:p>
    <w:p>
      <w:pPr>
        <w:pStyle w:val="Compact"/>
        <w:numPr>
          <w:ilvl w:val="0"/>
          <w:numId w:val="1008"/>
        </w:numPr>
      </w:pPr>
      <w:r>
        <w:t xml:space="preserve">централизованное управление ключами.</w:t>
      </w:r>
    </w:p>
    <w:bookmarkEnd w:id="40"/>
    <w:bookmarkEnd w:id="41"/>
    <w:bookmarkStart w:id="42" w:name="анализ-и-практическая-значимость"/>
    <w:p>
      <w:pPr>
        <w:pStyle w:val="Heading1"/>
      </w:pPr>
      <w:r>
        <w:t xml:space="preserve">6. Анализ и практическая значимость</w:t>
      </w:r>
    </w:p>
    <w:p>
      <w:pPr>
        <w:pStyle w:val="FirstParagraph"/>
      </w:pPr>
      <w:r>
        <w:t xml:space="preserve">Управление ключами широко применяется в современных технологиях:</w:t>
      </w:r>
    </w:p>
    <w:p>
      <w:pPr>
        <w:pStyle w:val="Compact"/>
        <w:numPr>
          <w:ilvl w:val="0"/>
          <w:numId w:val="1009"/>
        </w:numPr>
      </w:pPr>
      <w:r>
        <w:t xml:space="preserve">протоколы защищённой передачи данных (TLS/HTTPS);</w:t>
      </w:r>
    </w:p>
    <w:p>
      <w:pPr>
        <w:pStyle w:val="Compact"/>
        <w:numPr>
          <w:ilvl w:val="0"/>
          <w:numId w:val="1009"/>
        </w:numPr>
      </w:pPr>
      <w:r>
        <w:t xml:space="preserve">виртуальные частные сети (VPN);</w:t>
      </w:r>
    </w:p>
    <w:p>
      <w:pPr>
        <w:pStyle w:val="Compact"/>
        <w:numPr>
          <w:ilvl w:val="0"/>
          <w:numId w:val="1009"/>
        </w:numPr>
      </w:pPr>
      <w:r>
        <w:t xml:space="preserve">системы аутентификации;</w:t>
      </w:r>
    </w:p>
    <w:p>
      <w:pPr>
        <w:pStyle w:val="Compact"/>
        <w:numPr>
          <w:ilvl w:val="0"/>
          <w:numId w:val="1009"/>
        </w:numPr>
      </w:pPr>
      <w:r>
        <w:t xml:space="preserve">банковские системы.</w:t>
      </w:r>
    </w:p>
    <w:p>
      <w:pPr>
        <w:pStyle w:val="FirstParagraph"/>
      </w:pPr>
      <w:r>
        <w:t xml:space="preserve">Ошибки в управлении ключами являются одной из наиболее распространённых причин утечек данных.</w:t>
      </w:r>
    </w:p>
    <w:bookmarkEnd w:id="42"/>
    <w:bookmarkStart w:id="43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работы были рассмотрены основные техники управления ключами, их концепции и жизненный цикл. Установлено, что криптографический ключ является центральным элементом системы безопасности, а корректное управление им критически важно для защиты информации.</w:t>
      </w:r>
      <w:r>
        <w:t xml:space="preserve"> </w:t>
      </w:r>
      <w:r>
        <w:t xml:space="preserve">[2]</w:t>
      </w:r>
    </w:p>
    <w:p>
      <w:pPr>
        <w:pStyle w:val="BodyText"/>
      </w:pPr>
      <w:r>
        <w:t xml:space="preserve">Таким образом, эффективная система управления ключами позволяет значительно повысить уровень информационной безопасности.</w:t>
      </w:r>
    </w:p>
    <w:bookmarkEnd w:id="43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Start w:id="44" w:name="ref-nis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NIST. Recommendation for Key Management (SP 800-57). 2020.</w:t>
      </w:r>
    </w:p>
    <w:bookmarkEnd w:id="44"/>
    <w:bookmarkStart w:id="45" w:name="ref-stalling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Stallings W. Cryptography and Network Security: Principles and Practice. Pearson, 2017.</w:t>
      </w:r>
    </w:p>
    <w:bookmarkEnd w:id="45"/>
    <w:bookmarkStart w:id="46" w:name="ref-menezes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Menezes A., Oorschot P. van, Vanstone S. Handbook of Applied Cryptography. CRC Press, 1997.</w:t>
      </w:r>
    </w:p>
    <w:bookmarkEnd w:id="46"/>
    <w:bookmarkStart w:id="47" w:name="ref-kms_survey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al. S. R. et</w:t>
      </w:r>
      <w:r>
        <w:t xml:space="preserve">. A comprehensive survey of cryptography key management systems // Journal of Information Security and Applications. 2023.</w:t>
      </w:r>
    </w:p>
    <w:bookmarkEnd w:id="47"/>
    <w:bookmarkStart w:id="49" w:name="ref-diffie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hyperlink r:id="rId48">
        <w:r>
          <w:rPr>
            <w:rStyle w:val="Hyperlink"/>
          </w:rPr>
          <w:t xml:space="preserve">Diffie-Hellman key exchange</w:t>
        </w:r>
      </w:hyperlink>
      <w:r>
        <w:t xml:space="preserve">. 2024.</w:t>
      </w:r>
    </w:p>
    <w:bookmarkEnd w:id="49"/>
    <w:bookmarkStart w:id="51" w:name="ref-key_management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hyperlink r:id="rId50">
        <w:r>
          <w:rPr>
            <w:rStyle w:val="Hyperlink"/>
          </w:rPr>
          <w:t xml:space="preserve">Key Management</w:t>
        </w:r>
      </w:hyperlink>
      <w:r>
        <w:t xml:space="preserve">. 2024.</w:t>
      </w:r>
    </w:p>
    <w:bookmarkEnd w:id="51"/>
    <w:bookmarkStart w:id="52" w:name="ref-kmip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Key Management Interoperability Protocol (KMIP). 2010.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hyperlink" Id="rId48" Target="https://en.wikipedia.org/wiki/Diffie%E2%80%93Hellman_key_exchange" TargetMode="External" /><Relationship Type="http://schemas.openxmlformats.org/officeDocument/2006/relationships/hyperlink" Id="rId50" Target="https://en.wikipedia.org/wiki/Key_manag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en.wikipedia.org/wiki/Diffie%E2%80%93Hellman_key_exchange" TargetMode="External" /><Relationship Type="http://schemas.openxmlformats.org/officeDocument/2006/relationships/hyperlink" Id="rId50" Target="https://en.wikipedia.org/wiki/Key_manag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Техники управления ключами. Основные концепции. Жизненный цикл управления ключами.</dc:title>
  <dc:creator>Панина Жанна Валерьевна</dc:creator>
  <dc:language>ru-RU</dc:language>
  <cp:keywords/>
  <dcterms:created xsi:type="dcterms:W3CDTF">2026-04-30T16:10:17Z</dcterms:created>
  <dcterms:modified xsi:type="dcterms:W3CDTF">2026-04-30T16:10:17Z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Реферат</vt:lpwstr>
  </property>
  <property fmtid="{D5CDD505-2E9C-101B-9397-08002B2CF9AE}" pid="17" name="toc-title">
    <vt:lpwstr>Содержание</vt:lpwstr>
  </property>
</Properties>
</file>